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506-6k_ucloudlink.htm"/>
      <w:bookmarkStart w:id="1" w:name="ksea03015066k_ucloudlink"/>
      <w:bookmarkEnd w:id="0"/>
      <w:bookmarkEnd w:id="1"/>
      <w:r>
        <w:rPr>
          <w:bdr w:val="single" w:sz="16" w:space="1" w:color="000000"/>
        </w:rPr>
        <w:t> </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001-39302</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 2214-Rm1, 22/F, Mira Place Tower 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132 Nathan Road, Tsim Sha Tsui</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Kowloon, Hong Kong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2380" w:type="dxa"/>
        <w:jc w:val="left"/>
        <w:tblInd w:w="0" w:type="dxa"/>
        <w:tblLayout w:type="fixed"/>
        <w:tblCellMar>
          <w:top w:w="0" w:type="dxa"/>
          <w:left w:w="0" w:type="dxa"/>
          <w:bottom w:w="28" w:type="dxa"/>
          <w:right w:w="0" w:type="dxa"/>
        </w:tblCellMar>
      </w:tblPr>
      <w:tblGrid>
        <w:gridCol w:w="995"/>
        <w:gridCol w:w="60"/>
        <w:gridCol w:w="1325"/>
      </w:tblGrid>
      <w:tr>
        <w:trPr/>
        <w:tc>
          <w:tcPr>
            <w:tcW w:w="99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25" w:type="dxa"/>
            <w:tcBorders/>
            <w:shd w:fill="CCEEFF" w:val="clear"/>
            <w:tcMar>
              <w:bottom w:w="0" w:type="dxa"/>
            </w:tcMar>
            <w:vAlign w:val="center"/>
          </w:tcPr>
          <w:p>
            <w:pPr>
              <w:pStyle w:val="TableContents"/>
              <w:bidi w:val="0"/>
              <w:spacing w:before="0" w:after="283"/>
              <w:jc w:val="left"/>
              <w:rPr/>
            </w:pPr>
            <w:hyperlink w:anchor="ea030150601ex99-1.htm">
              <w:r>
                <w:rPr>
                  <w:rStyle w:val="InternetLink"/>
                  <w:rFonts w:ascii="Times New Roman;Times;Serif" w:hAnsi="Times New Roman;Times;Serif"/>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75"/>
        <w:gridCol w:w="605"/>
        <w:gridCol w:w="3005"/>
      </w:tblGrid>
      <w:tr>
        <w:trPr/>
        <w:tc>
          <w:tcPr>
            <w:tcW w:w="75" w:type="dxa"/>
            <w:tcBorders/>
            <w:vAlign w:val="center"/>
          </w:tcPr>
          <w:p>
            <w:pPr>
              <w:pStyle w:val="TableContents"/>
              <w:bidi w:val="0"/>
              <w:spacing w:before="0" w:after="283"/>
              <w:jc w:val="left"/>
              <w:rPr/>
            </w:pPr>
            <w:r>
              <w:rPr/>
              <w:t> </w:t>
            </w:r>
          </w:p>
        </w:tc>
        <w:tc>
          <w:tcPr>
            <w:tcW w:w="36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UCLOUDLINK GROUP INC.</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30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rFonts w:ascii="Times New Roman;Times;Serif" w:hAnsi="Times New Roman;Times;Serif"/>
                <w:sz w:val="20"/>
              </w:rPr>
              <w:t>By</w:t>
            </w:r>
            <w:r>
              <w:rPr/>
              <w:t>:</w:t>
            </w:r>
          </w:p>
        </w:tc>
        <w:tc>
          <w:tcPr>
            <w:tcW w:w="30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Chaohui Chen</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rFonts w:ascii="Times New Roman;Times;Serif" w:hAnsi="Times New Roman;Times;Serif"/>
                <w:sz w:val="20"/>
              </w:rPr>
              <w:t>Name:</w:t>
            </w:r>
            <w:r>
              <w:rPr/>
              <w:t> </w:t>
            </w:r>
          </w:p>
        </w:tc>
        <w:tc>
          <w:tcPr>
            <w:tcW w:w="3005" w:type="dxa"/>
            <w:tcBorders/>
            <w:vAlign w:val="center"/>
          </w:tcPr>
          <w:p>
            <w:pPr>
              <w:pStyle w:val="TableContents"/>
              <w:bidi w:val="0"/>
              <w:spacing w:before="0" w:after="283"/>
              <w:jc w:val="left"/>
              <w:rPr>
                <w:sz w:val="20"/>
              </w:rPr>
            </w:pPr>
            <w:r>
              <w:rPr>
                <w:sz w:val="20"/>
              </w:rPr>
              <w:t>Chaohui Chen</w:t>
            </w:r>
          </w:p>
        </w:tc>
      </w:tr>
      <w:tr>
        <w:trPr/>
        <w:tc>
          <w:tcPr>
            <w:tcW w:w="75"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rFonts w:ascii="Times New Roman;Times;Serif" w:hAnsi="Times New Roman;Times;Serif"/>
                <w:sz w:val="20"/>
              </w:rPr>
              <w:t>Title</w:t>
            </w:r>
            <w:r>
              <w:rPr/>
              <w:t>:</w:t>
            </w:r>
          </w:p>
        </w:tc>
        <w:tc>
          <w:tcPr>
            <w:tcW w:w="3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11, 2026</w:t>
      </w:r>
    </w:p>
    <w:p>
      <w:pPr>
        <w:pStyle w:val="TextBody"/>
        <w:bidi w:val="0"/>
        <w:spacing w:before="0" w:after="0"/>
        <w:ind w:left="0" w:right="0" w:hanging="0"/>
        <w:jc w:val="left"/>
        <w:rPr/>
      </w:pPr>
      <w:r>
        <w:rPr/>
        <w:t> </w:t>
      </w:r>
    </w:p>
    <w:p>
      <w:pPr>
        <w:pStyle w:val="TextBody"/>
        <w:bidi w:val="0"/>
        <w:spacing w:before="0" w:after="0"/>
        <w:ind w:left="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150601ex99-1.htm"/>
      <w:bookmarkStart w:id="3" w:name="ksea0301506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UCLOUDLINK GROUP INC. Announces Receipt of Minimum Bid Price Notice from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 xml:space="preserve">Hong Kong, August 11, 2026– UCLOUDLINK GROUP INC. (“UCLOUDLINK” or the “Company”) (NASDAQ: UCL), the world’s first and leading mobile data traffic sharing marketplace, today announced that it has received written notification from the staff of the Listing Qualifications Department of The Nasdaq Stock Market LLC (“Nasdaq”) dated August 10, 2026, indicating that for the last 33 consecutive business days, the closing bid price for the Company’s American depositary shares (the “ADSs”) was below the minimum bid price of US$1.00 per share requirement set forth in Nasdaq Listing Rule 5450(a)(1). The Nasdaq notification letter has no immediate effect on the listing or trading of the Company’s ADSs on Nasdaq.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 xml:space="preserve">Pursuant to the Nasdaq Listing Rule 5810(c)(3)(A), the Company is provided with a compliance period of 180 calendar days, or until February 8, 2027, to regain compliance under the Nasdaq Listing Rules. If at any time during the 180-day compliance period, the closing bid price of the Company’s ADSs is US$1.00 per share or higher for a minimum of ten consecutive business days, Nasdaq will provide the Company written confirmation of compliance and the matter will be closed. In the event the Company does not regain compliance by February 8, 2027, subject to the determination by the staff of Nasdaq, the Company may be eligible for an additional 180-day compliance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The Nasdaq notification letter does not affect the Company’s business operations, and the Company will take all reasonable measures to regain compliance within the prescribed compliance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UCLOUDLINK GROUP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EFEFE" w:val="clear"/>
        </w:rPr>
      </w:pPr>
      <w:r>
        <w:rPr>
          <w:rFonts w:ascii="Times New Roman;Times;Serif" w:hAnsi="Times New Roman;Times;Serif"/>
          <w:b w:val="false"/>
          <w:i w:val="false"/>
          <w:caps w:val="false"/>
          <w:smallCaps w:val="false"/>
          <w:sz w:val="20"/>
          <w:shd w:fill="FEFEFE" w:val="clear"/>
        </w:rPr>
        <w:t>UCLOUDLINK is the world’s first and leading mobile data traffic sharing marketplace, pioneering the sharing economy business model for the telecommunications industry. The Company’s products and services deliver unique value propositions to mobile data users, handset and smart-hardware companies, mobile virtual network operators (MVNOs) and mobile network operators (MNOs). Leveraging its innovative cloud SIM technology and architecture, the Company has redefined the mobile data connectivity experience by allowing users to gain access to mobile data traffic allowance shared by network operators on its marketplace, while providing reliable connectivity, high speeds and competitive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the financial guidance and quotations from management in this announcement, as well as UCLOUDLINK’s strategic and operational plans, contain forward-looking statements. UCLOUDLINK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but not limited to statements about UCLOUDLINK’s beliefs and expectations, are forward-looking statements. Forward looking statements involve inherent risks and uncertainties. A number of factors could cause actual results to differ materially from those contained in any forward-looking statement, including but not limited to the following: UCLOUDLINK’s strategies; UCLOUDLINK’s future business development, financial condition and results of operations; UCLOUDLINK’s ability to increase its user base and usage of its mobile data connectivity services, and improve operational efficiency; competition in the global mobile data connectivity service industry; changes in UCLOUDLINK’s revenues, costs or expenditures; governmental policies and regulations relating to the global mobile data connectivity service industry, general economic and business conditions globally and in China; and assumptions underlying or related to any of the foregoing. Further information regarding these and other risks is included in the Company’s filings with the Securities and Exchange Commission. All information provided in this press release and in the attachments is as of the date of the press release, and UCLOUDLINK undertakes no duty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more information,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UCLOUDLINK GROUP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Daniel GaoTel: +852-2180-6111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ir@ucloudlink.com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Christensen Advisory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Arnell, Managing Director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+852-2117-0861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ucloudlink@christensencomms.com</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841</Words>
  <Characters>5007</Characters>
  <CharactersWithSpaces>5865</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