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 Hope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2214-RM1, 22/F, MIRA PLACE TOWER 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132 NATHAN ROAD, TSIM SHA TSUI, KOWLOON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HONG KONG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uCloudlink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8"/>
        <w:gridCol w:w="904"/>
        <w:gridCol w:w="773"/>
        <w:gridCol w:w="600"/>
        <w:gridCol w:w="351"/>
        <w:gridCol w:w="939"/>
        <w:gridCol w:w="463"/>
        <w:gridCol w:w="625"/>
        <w:gridCol w:w="1177"/>
        <w:gridCol w:w="1008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Share, par value US$0.00005 per share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270,000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ten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represents 40,000 Restricted Share Units ("RSU") granted to the reporting person on August 31, 2026 pursuant to the Company's 2019 Share Incentive Plan (the "2019 Plan"). Each RSU represents a contingent right to receive one Class A ordinary share upon vesting. The RSUs vest 50% on August 31, 2027, 20% on August 31, 2028, and 10% on each of August 31, 2029, 2030 and 2031, subject to the terms of the 2019 Plan and applicable award agreement.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Hope 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3296" TargetMode="External"/><Relationship Id="rId5" Type="http://schemas.openxmlformats.org/officeDocument/2006/relationships/hyperlink" Target="http://www.sec.gov/cgi-bin/browse-edgar?action=getcompany&amp;CIK=00017758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670</Words>
  <Characters>3567</Characters>
  <CharactersWithSpaces>4168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