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365-6k_ucloudlink.htm"/>
      <w:bookmarkStart w:id="1" w:name="ksea03023656k_ucloudlin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2214-Rm1, 22/F, Mira Place Tower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Nathan Road, Tsim Sha Tsui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Kowloon, Hong Kong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hyperlink w:anchor="ea0302365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590"/>
        <w:gridCol w:w="3005"/>
      </w:tblGrid>
      <w:tr>
        <w:trPr/>
        <w:tc>
          <w:tcPr>
            <w:tcW w:w="75"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UCLOUDLINK GROUP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Chaohui Chen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005" w:type="dxa"/>
            <w:tcBorders/>
            <w:vAlign w:val="center"/>
          </w:tcPr>
          <w:p>
            <w:pPr>
              <w:pStyle w:val="TableContents"/>
              <w:bidi w:val="0"/>
              <w:spacing w:before="0" w:after="283"/>
              <w:jc w:val="left"/>
              <w:rPr>
                <w:sz w:val="20"/>
              </w:rPr>
            </w:pPr>
            <w:r>
              <w:rPr>
                <w:sz w:val="20"/>
              </w:rPr>
              <w:t>Chaohui Chen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236501ex99-1.htm"/>
      <w:bookmarkStart w:id="3" w:name="ksea030236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UCLOUDLINK GROUP INC. Announces Unaudited Second Quarter 2026 Financial Results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18, 2026 – UCLOUDLINK GROUP INC. (“UCLOUDLINK” or the “Company”) (NASDAQ: UCL), the world’s first and leading mobile data traffic sharing marketplace, today announced its unaudited financial results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Total revenues</w:t>
            </w:r>
            <w:r>
              <w:rPr>
                <w:rFonts w:ascii="Times New Roman;Times;Serif" w:hAnsi="Times New Roman;Times;Serif"/>
                <w:sz w:val="20"/>
              </w:rPr>
              <w:t xml:space="preserve"> were US$18.2 million, representing a decrease of 5.9% from US$19.4 million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Total revenues across different business lines were as follows:</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GlocalMe MeowGo</w:t>
            </w:r>
            <w:r>
              <w:rPr/>
              <w:t xml:space="preserve"> business: US$15.4 million, representing a decrease of 13.1% from US$17.9 million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GlocalMe</w:t>
            </w:r>
            <w:r>
              <w:rPr/>
              <w:t xml:space="preserve"> SIM business: US$1.3 million, representing an increase of 78.0% from US$0.7 million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GlocalMe</w:t>
            </w:r>
            <w:r>
              <w:rPr/>
              <w:t xml:space="preserve"> IoT business: US$0.8 million, representing an increase of 392.4% from US$0.2 million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GlocalMe</w:t>
            </w:r>
            <w:r>
              <w:rPr/>
              <w:t xml:space="preserve"> Life business: US$0.5 million, representing a decrease of 21.1% from US$0.6 million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PetPhone</w:t>
            </w:r>
            <w:r>
              <w:rPr/>
              <w:t xml:space="preserve"> business: US$0.2 million, representing an increase of 1,527.3% from US$0.01 million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Gross profit</w:t>
            </w:r>
            <w:r>
              <w:rPr/>
              <w:t xml:space="preserve"> was US$9.2 million, representing a decrease of 10.4% from US$10.2 million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Loss from operations</w:t>
            </w:r>
            <w:r>
              <w:rPr/>
              <w:t xml:space="preserve"> was US$2.9 million, compared to income from operations of US$0.8 million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b/>
              </w:rPr>
              <w:t>Net loss</w:t>
            </w:r>
            <w:r>
              <w:rPr/>
              <w:t xml:space="preserve"> was US$3.0 million, compared to net income of US$0.7 million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Adjusted net loss (non-GAAP)</w:t>
            </w:r>
            <w:r>
              <w:rPr/>
              <w:t xml:space="preserve"> was US$2.3 million, compared to adjusted net income of US$0.5 million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Adjusted EBITDA (non-GAAP)</w:t>
            </w:r>
            <w:r>
              <w:rPr/>
              <w:t xml:space="preserve"> was negative US$1.8 million, compared to positive US$1.4 million in the second quarter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Highlights</w:t>
      </w:r>
    </w:p>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Total data consumed in the second quarter through the Company’s platform was 46,641 terabytes (5,752 terabytes procured by the Company and 40,889 terabytes procured by our business partners), representing an increase of 2.6% from 45,441 terabytes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Average daily active users (“DAU”) in the second quarter were 376,376, representing an increase of 13.3% from </w:t>
            </w:r>
            <w:r>
              <w:rPr>
                <w:rFonts w:ascii="Times New Roman;Times;Serif" w:hAnsi="Times New Roman;Times;Serif"/>
              </w:rPr>
              <w:t>332,323</w:t>
            </w:r>
            <w:r>
              <w:rPr/>
              <w:t xml:space="preserve">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DAU in the second quarter from </w:t>
            </w:r>
            <w:r>
              <w:rPr>
                <w:i/>
              </w:rPr>
              <w:t>GlocalMe</w:t>
            </w:r>
            <w:r>
              <w:rPr/>
              <w:t xml:space="preserve"> IoT business was 57,859, representing an increase of 277.3% from 15,337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DAU in the second quarter from </w:t>
            </w:r>
            <w:r>
              <w:rPr>
                <w:i/>
              </w:rPr>
              <w:t>GlocalMe</w:t>
            </w:r>
            <w:r>
              <w:rPr/>
              <w:t xml:space="preserve"> SIM business was 17,519, representing an increase of 132.0% from 7,552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DAU in the second quarter from </w:t>
            </w:r>
            <w:r>
              <w:rPr>
                <w:i/>
              </w:rPr>
              <w:t>GlocalMe</w:t>
            </w:r>
            <w:r>
              <w:rPr/>
              <w:t xml:space="preserve"> Life business was 14,471, representing an increase of 801.6% from 1,605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DAU in the second quarter from </w:t>
            </w:r>
            <w:r>
              <w:rPr>
                <w:i/>
              </w:rPr>
              <w:t>PetPhone</w:t>
            </w:r>
            <w:r>
              <w:rPr/>
              <w:t xml:space="preserve"> business was 1,519, representing an increase of 606.5% from 215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DAU in the second quarter from </w:t>
            </w:r>
            <w:r>
              <w:rPr>
                <w:i/>
              </w:rPr>
              <w:t>GlocalMe MeowGo</w:t>
            </w:r>
            <w:r>
              <w:rPr/>
              <w:t xml:space="preserve"> business was 285,008, representing a decrease of 7.3% from 307,614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Average monthly active users (“MAU”) in the second quarter were 744,966, representing an increase of 6.6% from 698,862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MAU in the second quarter from </w:t>
            </w:r>
            <w:r>
              <w:rPr>
                <w:i/>
              </w:rPr>
              <w:t>GlocalMe</w:t>
            </w:r>
            <w:r>
              <w:rPr/>
              <w:t xml:space="preserve"> IoT business was 90,431, representing an increase of 210.1% from 29,163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MAU in the second quarter from </w:t>
            </w:r>
            <w:r>
              <w:rPr>
                <w:i/>
              </w:rPr>
              <w:t>GlocalMe</w:t>
            </w:r>
            <w:r>
              <w:rPr/>
              <w:t xml:space="preserve"> SIM business was 71,466, representing an increase of 53.8% from 46,481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MAU in the second quarter from </w:t>
            </w:r>
            <w:r>
              <w:rPr>
                <w:i/>
              </w:rPr>
              <w:t>GlocalMe</w:t>
            </w:r>
            <w:r>
              <w:rPr/>
              <w:t xml:space="preserve"> Life business was 24,182, representing an increase of 599.7% from 3,456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MAU in the second quarter from </w:t>
            </w:r>
            <w:r>
              <w:rPr>
                <w:i/>
              </w:rPr>
              <w:t>PetPhone</w:t>
            </w:r>
            <w:r>
              <w:rPr/>
              <w:t xml:space="preserve"> business was 1,845, representing an increase of 464.2% from 327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MAU in the second quarter from </w:t>
            </w:r>
            <w:r>
              <w:rPr>
                <w:i/>
              </w:rPr>
              <w:t>GlocalMe MeowGo</w:t>
            </w:r>
            <w:r>
              <w:rPr/>
              <w:t xml:space="preserve"> business was 557,042, representing a decrease of 10.1% from 619,435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a proportion of daily active terminals, 56.3% were from uCloudlink 1.0 international data connectivity services and 43.7% were from uCloudlink 2.0 local data connectivity services during the second quarter of 2026. Average daily data usage per terminal was 1.50 GB in June 2026.</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Average daily active terminals (“DAT”) in the second quarter were 341,511 (12,763 owned by the Company and 328,748 not owned by the Company), representing an increase of 7.4% from 317,957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DAT in the second quarter from </w:t>
            </w:r>
            <w:r>
              <w:rPr>
                <w:i/>
              </w:rPr>
              <w:t>GlocalMe</w:t>
            </w:r>
            <w:r>
              <w:rPr/>
              <w:t xml:space="preserve"> IoT business was 46,627, representing an increase of 441.5% from 8,610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DAT in the second quarter from </w:t>
            </w:r>
            <w:r>
              <w:rPr>
                <w:i/>
              </w:rPr>
              <w:t>GlocalMe</w:t>
            </w:r>
            <w:r>
              <w:rPr/>
              <w:t xml:space="preserve"> SIM business was 8,535, representing an increase of 42.7% from 5,979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DAT in the second quarter from </w:t>
            </w:r>
            <w:r>
              <w:rPr>
                <w:i/>
              </w:rPr>
              <w:t>GlocalMe</w:t>
            </w:r>
            <w:r>
              <w:rPr/>
              <w:t xml:space="preserve"> Life business was 12,129, representing an increase of 1,343.2% from 840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DAT in the second quarter from </w:t>
            </w:r>
            <w:r>
              <w:rPr>
                <w:i/>
              </w:rPr>
              <w:t>PetPhone</w:t>
            </w:r>
            <w:r>
              <w:rPr/>
              <w:t xml:space="preserve"> business was 507, representing an increase of 672.9% from 66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DAT in the second quarter from </w:t>
            </w:r>
            <w:r>
              <w:rPr>
                <w:i/>
              </w:rPr>
              <w:t>GlocalMe MeowGo</w:t>
            </w:r>
            <w:r>
              <w:rPr/>
              <w:t xml:space="preserve"> business was 273,713, representing a decrease of 9.5% from 302,462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Average monthly active terminals (“MAT”) in the second quarter were 706,382, representing an increase of 6.5% from 663,197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MAT in the second quarter from </w:t>
            </w:r>
            <w:r>
              <w:rPr>
                <w:i/>
              </w:rPr>
              <w:t>GlocalMe</w:t>
            </w:r>
            <w:r>
              <w:rPr/>
              <w:t xml:space="preserve"> IoT business was 81,497, representing an increase of 93.6% from 42,095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MAT in the second quarter from </w:t>
            </w:r>
            <w:r>
              <w:rPr>
                <w:i/>
              </w:rPr>
              <w:t>GlocalMe</w:t>
            </w:r>
            <w:r>
              <w:rPr/>
              <w:t xml:space="preserve"> SIM business was 57,214, representing an increase of 35.4% from 42,271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p>
      <w:pPr>
        <w:pStyle w:val="TextBody"/>
        <w:bidi w:val="0"/>
        <w:spacing w:before="0" w:after="0"/>
        <w:ind w:left="1560"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MAT in the second quarter from </w:t>
            </w:r>
            <w:r>
              <w:rPr>
                <w:i/>
              </w:rPr>
              <w:t>GlocalMe</w:t>
            </w:r>
            <w:r>
              <w:rPr/>
              <w:t xml:space="preserve"> Life business was 23,043, representing an increase of 843.2% from 2,443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MAT in the second quarter from </w:t>
            </w:r>
            <w:r>
              <w:rPr>
                <w:i/>
              </w:rPr>
              <w:t>PetPhone</w:t>
            </w:r>
            <w:r>
              <w:rPr/>
              <w:t xml:space="preserve"> business was 1,028, representing an increase of 441.1% from 190 in the second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Average MAT in the second quarter from </w:t>
            </w:r>
            <w:r>
              <w:rPr>
                <w:i/>
              </w:rPr>
              <w:t>GlocalMe MeowGo</w:t>
            </w:r>
            <w:r>
              <w:rPr/>
              <w:t xml:space="preserve"> business was 543,600, representing a decrease of 5.7% from 576,198 in the second quarter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of June 30, 2026, the Company had served 3,250 business partners in 64 countries and regions. The Company had 212 patents with 184 approved and 28 pending approval, while the pool of SIM cards was from 398 MNOs globally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Chaohui Chen, Director and Chief Executive Officer of UCLOUDLINK, commented, “Our second quarter results mark a meaningful inflection point in our business. Total revenues for the quarter were US$18.2 million, reflecting the continued impact of macroeconomic headwinds, geopolitical tensions affecting outbound travel from China, and a significant surge in memory chip costs. Our uCloudlink 1.0 international data connectivity services remained under pressure from these factors. However, this impact has been increasingly offset by the rapid scaling of our uCloudlink 2.0 local data connectivity business, which delivered strong growth—particularly from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business. We expect this momentum to accelerate further in the third quarter.”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three new growth engines - GlocalMe Life, GlocalMe SIM, and GlocalMe IoT - continued to gain meaningful traction during the quarter. Under GlocalMe IoT, our installed base expanded further, providing a solid foundation for continuous high revenue growth. User adoption is growing rapidly across key verticals as we further solidify our position in high-growth sectors including in-car infotainment and security cameras. Building on the ‘AI-powered + Social’ model we pioneered in the first quarter, we are now leveraging PetPhone’s hardware capabilities to build a dedicated pet AI agent that offers both practical pet care tools and engaging human-pet interactive experiences. This enriches the high-frequency use cases within PetPogo and strengthens user retention. We are also opening up our full suite of pet AI agents to third-party developers, connecting hardware, software, and external services to continuously expand the boundaries of the pet ecosystem. PetPhone continues to attract strong media attention, has earned multiple industry awards, and is seeing growing consumer interest and pre-order momentum. Customer education for a product this innovative will take some time, and we believe its value proposition will be clear to the broader market in the second half of the year. Our premium MeowGo G50 Max, the world’s leading Sky-to-Ground integrated mobile connectivity hub, generated strong sales in the short period of time since its debut last quarter. Its unique ability to deliver resilient connectivity through 5G/satellite integration, powered by our AI HyperConn® technology, has proven to be a critical differentiator in markets experiencing political turmoil. It has now established market leadership on several fronts, including the breadth of its country coverage, its strong sales performance in the premium MiFi segment, and its satellite emergency communication capabilities. This is enhancing our brand value and driving increased sales across our entire portfolio of mobile connectivity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also achieved notable recognition during the quarter, winning the ‘Customer Impact Award’ at the MVNOs World Awards 2026 and being shortlisted for ‘Leading Consumer MVNO/Sub-Brand’, further validating our technological leadership and market positioning. Looking ahead, we remain focused on strengthening operational management and cost discipline, with a clear priority on improving cash flow. Together with the ongoing commercial progress of the </w:t>
      </w:r>
      <w:r>
        <w:rPr>
          <w:rFonts w:ascii="Times New Roman;Times;Serif" w:hAnsi="Times New Roman;Times;Serif"/>
          <w:b w:val="false"/>
          <w:i/>
          <w:caps w:val="false"/>
          <w:smallCaps w:val="false"/>
          <w:sz w:val="20"/>
        </w:rPr>
        <w:t>PetPogo</w:t>
      </w:r>
      <w:r>
        <w:rPr>
          <w:rFonts w:ascii="Times New Roman;Times;Serif" w:hAnsi="Times New Roman;Times;Serif"/>
          <w:b w:val="false"/>
          <w:i w:val="false"/>
          <w:caps w:val="false"/>
          <w:smallCaps w:val="false"/>
          <w:sz w:val="20"/>
        </w:rPr>
        <w:t xml:space="preserve"> platform, the ramp-up of </w:t>
      </w:r>
      <w:r>
        <w:rPr>
          <w:rFonts w:ascii="Times New Roman;Times;Serif" w:hAnsi="Times New Roman;Times;Serif"/>
          <w:b w:val="false"/>
          <w:i/>
          <w:caps w:val="false"/>
          <w:smallCaps w:val="false"/>
          <w:sz w:val="20"/>
        </w:rPr>
        <w:t>MeowGo G50 Max</w:t>
      </w:r>
      <w:r>
        <w:rPr>
          <w:rFonts w:ascii="Times New Roman;Times;Serif" w:hAnsi="Times New Roman;Times;Serif"/>
          <w:b w:val="false"/>
          <w:i w:val="false"/>
          <w:caps w:val="false"/>
          <w:smallCaps w:val="false"/>
          <w:sz w:val="20"/>
        </w:rPr>
        <w:t xml:space="preserve">, and the continued expansion of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we believe these efforts will position us to navigate the current market environment and emerge stronger. We remain committed to bridging the digital divides in cross-border connectivity as well as the emotional distance between people and their pets, while creating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were US$18.2 million, representing a decrease of 5.9% from US$19.4 million in the same period of 2025.</w:t>
      </w:r>
    </w:p>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Revenues from services</w:t>
            </w:r>
            <w:r>
              <w:rPr/>
              <w:t xml:space="preserve"> were US$13.3 million, representing a decrease of 9.2% from US$14.6 million in the same period of 2025, primarily attributable to a decrease in revenues from data connectivity services.</w:t>
            </w:r>
          </w:p>
        </w:tc>
      </w:tr>
    </w:tbl>
    <w:p>
      <w:pPr>
        <w:pStyle w:val="TextBody"/>
        <w:bidi w:val="0"/>
        <w:spacing w:before="0" w:after="0"/>
        <w:ind w:left="14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Revenues from data connectivity services</w:t>
            </w:r>
            <w:r>
              <w:rPr/>
              <w:t xml:space="preserve"> were US$10.2 million, representing a decrease of 10.7% from US$11.5 million in the same period of 2025. The decrease was primarily attributable to a decrease in revenues from international data connectivity services to US$8.2 million in the second quarter of 2026 from US$10.0 million in the same period of 2025, primarily due to the decline in outbound travelers from China, against the backdrop of a volatile and tense international situation, which was partially offset by an increase in revenues from local data connectivity services to US$2.0 million in the second quarter of 2026 from US$1.5 million in the same period of 2025, as a result of the continued development of </w:t>
            </w:r>
            <w:r>
              <w:rPr>
                <w:i/>
              </w:rPr>
              <w:t>GlocalMe</w:t>
            </w:r>
            <w:r>
              <w:rPr/>
              <w:t xml:space="preserve"> IoT business.</w:t>
            </w:r>
          </w:p>
        </w:tc>
      </w:tr>
    </w:tbl>
    <w:p>
      <w:pPr>
        <w:pStyle w:val="TextBody"/>
        <w:bidi w:val="0"/>
        <w:spacing w:before="0" w:after="0"/>
        <w:ind w:left="14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Revenues from PaaS and SaaS services</w:t>
            </w:r>
            <w:r>
              <w:rPr/>
              <w:t xml:space="preserve"> were US$2.5 million, representing a decrease of 6.3% from US$2.6 million in the same period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Revenues from sales of products</w:t>
            </w:r>
            <w:r>
              <w:rPr/>
              <w:t xml:space="preserve"> were US$4.9 million, representing an increase of 4.2% from US$4.8 million in the same period of 2025.</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638"/>
        <w:gridCol w:w="9425"/>
      </w:tblGrid>
      <w:tr>
        <w:trPr/>
        <w:tc>
          <w:tcPr>
            <w:tcW w:w="1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b/>
              </w:rPr>
            </w:pPr>
            <w:r>
              <w:rPr>
                <w:b/>
              </w:rPr>
              <w:t>Geographic Distribution</w:t>
            </w:r>
          </w:p>
        </w:tc>
      </w:tr>
    </w:tbl>
    <w:p>
      <w:pPr>
        <w:pStyle w:val="TextBody"/>
        <w:bidi w:val="0"/>
        <w:spacing w:before="0" w:after="0"/>
        <w:ind w:left="9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as a percentage of our total revenues, Japan contributed 36.0%, mainland China contributed 30.3%, North America contributed 13.5%, and other countries and regions contributed the remaining 20.2%, compared to 33.6%, 33.2%, 15.3% and 17.9%, respectively,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US$9.0 million, representing a decrease of 0.8% from US$9.2 million in the same period of 2025.</w:t>
      </w:r>
    </w:p>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Cost of services</w:t>
            </w:r>
            <w:r>
              <w:rPr/>
              <w:t xml:space="preserve"> was US$5.4 million, representing a decrease of 14.3% from US$6.3 million in the same period of 2025. The decrease was in line with the decrease in revenues from services.</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Cost of products sold</w:t>
            </w:r>
            <w:r>
              <w:rPr/>
              <w:t xml:space="preserve"> was US$3.6 million, representing an increase of 29.9% from US$2.9 million in the same period of 2025. The increase was primarily driven by industry-wide price increases for supply chain components, particularly global memory chips.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gross profit was US$9.2 million, compared to US$10.2 million in the same period of 2025. Overall gross margin was 50.2% in the second quarter of 2026, compared to 52.8%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on services was US$7.9 million, compared to US$8.3 million in the same period of 2025. Gross margin on services was 59.1% in the second quarter of 2026, compared to 56.6%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on sales of products was US$1.3 million, compared to US$1.9 million in the same period of 2025. Gross margin on sales of products was 26.5% in the second quarter of 2026, compared to 41.0%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US$11.6 million, compared to US$10.4 million in the same period of 2025.</w:t>
      </w:r>
    </w:p>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Research and development expenses</w:t>
            </w:r>
            <w:r>
              <w:rPr/>
              <w:t xml:space="preserve"> were US$2.0 million, representing an increase of 29.8% from US$1.6 million in the same period of 2025. The increase was primarily due to an increase of US$0.3 million in staff costs.</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Sales and marketing expenses</w:t>
            </w:r>
            <w:r>
              <w:rPr/>
              <w:t xml:space="preserve"> were US$6.7 million, representing an increase of 20.9% from US$5.5 million in the same period of 2025. The increase was primarily due to increases of US$0.7 million in promotion fees, US$0.2 million in staff costs, and US$0.1 million in operating lease payments.</w:t>
            </w:r>
          </w:p>
        </w:tc>
      </w:tr>
    </w:tbl>
    <w:p>
      <w:pPr>
        <w:pStyle w:val="TextBody"/>
        <w:bidi w:val="0"/>
        <w:spacing w:before="0" w:after="0"/>
        <w:ind w:left="9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General and administrative expenses</w:t>
            </w:r>
            <w:r>
              <w:rPr/>
              <w:t xml:space="preserve"> were US$2.9 million, representing a decrease of 12.5% from US$3.3 million in the same period of 2025. The decrease was primarily due to decreases of US$0.3 million in staff costs, US$0.2 million in share-based compensation expenses, and US$0.1 million in bad debt provisions, which were partially offset by an increase of US$0.2 million in cloud infrastructure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US$2.9 million, compared to income from operations of US$0.8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(Non-GAAP)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(Non-GAAP), which excludes the impact of share-based compensation, fair value gain/loss in other investments, share of profit/loss in equity method investment, net of tax, interest expense, income tax expenses and depreciation and amortization, was negative US$1.8 million, compared to positive US$1.4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 were US$0.1 million, compared to US$0.03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US$3.0 million, compared to net income of US$0.7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Net (Loss)/Income (Non-GAAP)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which excludes the impact of share-based compensation, fair value gain/loss in other investments and share of profit/loss in equity method investment, net of tax, was US$2.3 million, compared to adjusted net income of US$0.5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(Loss)/Earnings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ADS attributable to ordinary shareholders were US$0.08 in the second quarter of 2026, compared to basic and diluted earnings per ADS of US$0.02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US$25.2 million, compared to US$28.0 million as of March 31, 2026. The decrease was primarily attributable to the net outflow of US$3.0 million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 (“CAPEX”)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were US$0.04 million, compared to US$0.2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the Company completed the sale of its entire equity interest in Beijing Huaxianglianxin Technology Company, a company listed on the National Equities Exchange and Quotations (NEEQ) in China, through a series of block trades. The sale generated cash proceeds of approximately RMB11.4 million, representing a gain of approximately RMB2.9 million over the Company’s initial investment cost of approximately RMB8.5 million. Following the transaction, the Company no longer holds any equity interest in Beijing Huaxianglianxin Technology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building on the robust momentum of the Company’s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business, Mr. Wen Gao has been appointed as General Manager of Shenzhen Yulian Cloud Technology Co., Ltd., a wholly-owned subsidiary of the Company, effective August 17, 2026. In this role, Mr. Gao will focus on driving the expansion of the Company’s IoT solution ecosystem and enhancing its operational agility to accelerate business growth, in line with the Company’s strategic objective of strengthening its presence in the IoT sector. To devote his primary focus and effort to this critical operational role, Mr. Gao ceased to serve as Chief Strategy Officer of the Company upon this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UCLOUDLINK expects total revenues to be between US$19.0 million and US$22.0 million, representing a decrease of 10.4% to an increase of 3.8% compared to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expects total revenues for the full year of 2026 to be in the range of US$75 million to US$85 million, compared with the range of US$85 million to US$100 million previously announced. The Company is revising its guidance in light of the persistent macroeconomic challenges and global trade headwinds, which have had and may continue to have a broader impact across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above constitute forward-looking information and are based on the Company’s current expectations and assumptions of market and operating conditions and customer demand. These estimates are therefore subject to risks and uncertainties, including possible adjustments to preliminary financial results, and are not guarantees of future performance and may differ materially from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financial measures prepared in accordance with generally accepted accounting principles in the United States, or GAAP, this press release presents, adjusted net income/(loss) and adjusted EBITDA, as supplemental measures for the review and assessment of the Company’s operating performance. The presentation of these non-GAAP financial measures is not intended to be considered in isolation or as a substitute for the financial information prepared and presented in accordance with U.S. GAAP. Adjusted net income/(loss) is defined as net income/(loss) excluding share-based compensation, fair value gain/loss in other investments and share of profit/loss in equity method investment, net of tax. Adjusted EBITDA is defined as net income/(loss) excluding share-based compensation, fair value gain/loss in other investments, share of profit/loss in equity method investment, net of tax, interest expense, income tax expenses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adjusted net income/(loss) and adjusted EBITDA help identify underlying trends in its business that could otherwise be distorted by the effect of certain expenses that are included in income/(loss) from operations and net income/(loss). The Company believes that adjusted net income/(loss) and adjusted EBITDA provide useful information about its operating results, enhance the overall understanding of its past performance and future prospects and allow for greater visibility with respect to key metrics used by its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defined under U.S. GAAP and are not presented in accordance with U.S. GAAP. The non- GAAP financial measures have limitations as analytical tools. One of the key limitations of using adjusted net income/(loss) and adjusted EBITDA is that they do not reflect all items of income and expense that affect the Company’s operations. Share-based compensation, fair value gain/loss in other investments and share of profit/loss in equity method investment, net of tax, have been and may continue to be incurred in the Company’s business and are not reflected in the presentation of adjusted net income/(loss). Further, the non-GAAP financial measures may differ from the non-GAAP information used by other companies, including peer companies, and therefore their comparability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compensates for these limitations by reconciling the non-GAAP financial measure to the nearest U.S. GAAP performance measure, all of which should be considered when evaluating its performance. The Company encourages investors and others to review its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each of these non-GAAP financial measures to the most directly comparable GAAP financial measure is set forth at the end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UCLOUDLINK will hold a conference call at 8:30 a.m. Eastern Time on Tuesday, August 18, 2026 (8:30 p.m. Hong Kong Time on the same day) to discuss financial results and answer questions from investors and analysts. Listeners may access the call by dialing:</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330"/>
        <w:gridCol w:w="1475"/>
      </w:tblGrid>
      <w:tr>
        <w:trPr/>
        <w:tc>
          <w:tcPr>
            <w:tcW w:w="2330" w:type="dxa"/>
            <w:tcBorders/>
            <w:vAlign w:val="center"/>
          </w:tcPr>
          <w:p>
            <w:pPr>
              <w:pStyle w:val="TableContents"/>
              <w:bidi w:val="0"/>
              <w:spacing w:before="0" w:after="283"/>
              <w:jc w:val="both"/>
              <w:rPr>
                <w:sz w:val="20"/>
              </w:rPr>
            </w:pPr>
            <w:r>
              <w:rPr>
                <w:sz w:val="20"/>
              </w:rPr>
              <w:t>International:</w:t>
            </w:r>
          </w:p>
        </w:tc>
        <w:tc>
          <w:tcPr>
            <w:tcW w:w="1475" w:type="dxa"/>
            <w:tcBorders/>
            <w:vAlign w:val="center"/>
          </w:tcPr>
          <w:p>
            <w:pPr>
              <w:pStyle w:val="TableContents"/>
              <w:bidi w:val="0"/>
              <w:spacing w:before="0" w:after="283"/>
              <w:jc w:val="both"/>
              <w:rPr>
                <w:sz w:val="20"/>
              </w:rPr>
            </w:pPr>
            <w:r>
              <w:rPr>
                <w:sz w:val="20"/>
              </w:rPr>
              <w:t>+61-7-3145-4010</w:t>
            </w:r>
          </w:p>
        </w:tc>
      </w:tr>
      <w:tr>
        <w:trPr/>
        <w:tc>
          <w:tcPr>
            <w:tcW w:w="2330" w:type="dxa"/>
            <w:tcBorders/>
            <w:vAlign w:val="center"/>
          </w:tcPr>
          <w:p>
            <w:pPr>
              <w:pStyle w:val="TableContents"/>
              <w:bidi w:val="0"/>
              <w:spacing w:before="0" w:after="283"/>
              <w:jc w:val="both"/>
              <w:rPr>
                <w:sz w:val="20"/>
              </w:rPr>
            </w:pPr>
            <w:r>
              <w:rPr>
                <w:sz w:val="20"/>
              </w:rPr>
              <w:t>US/Canada (Toll Free):</w:t>
            </w:r>
          </w:p>
        </w:tc>
        <w:tc>
          <w:tcPr>
            <w:tcW w:w="1475" w:type="dxa"/>
            <w:tcBorders/>
            <w:vAlign w:val="center"/>
          </w:tcPr>
          <w:p>
            <w:pPr>
              <w:pStyle w:val="TableContents"/>
              <w:bidi w:val="0"/>
              <w:spacing w:before="0" w:after="283"/>
              <w:jc w:val="both"/>
              <w:rPr>
                <w:sz w:val="20"/>
              </w:rPr>
            </w:pPr>
            <w:r>
              <w:rPr>
                <w:sz w:val="20"/>
              </w:rPr>
              <w:t>1-855-881-1339</w:t>
            </w:r>
          </w:p>
        </w:tc>
      </w:tr>
      <w:tr>
        <w:trPr/>
        <w:tc>
          <w:tcPr>
            <w:tcW w:w="2330" w:type="dxa"/>
            <w:tcBorders/>
            <w:vAlign w:val="center"/>
          </w:tcPr>
          <w:p>
            <w:pPr>
              <w:pStyle w:val="TableContents"/>
              <w:bidi w:val="0"/>
              <w:spacing w:before="0" w:after="283"/>
              <w:jc w:val="both"/>
              <w:rPr>
                <w:sz w:val="20"/>
              </w:rPr>
            </w:pPr>
            <w:r>
              <w:rPr>
                <w:sz w:val="20"/>
              </w:rPr>
              <w:t>UK (Toll Free):</w:t>
            </w:r>
          </w:p>
        </w:tc>
        <w:tc>
          <w:tcPr>
            <w:tcW w:w="1475" w:type="dxa"/>
            <w:tcBorders/>
            <w:vAlign w:val="center"/>
          </w:tcPr>
          <w:p>
            <w:pPr>
              <w:pStyle w:val="TableContents"/>
              <w:bidi w:val="0"/>
              <w:spacing w:before="0" w:after="283"/>
              <w:jc w:val="both"/>
              <w:rPr>
                <w:sz w:val="20"/>
              </w:rPr>
            </w:pPr>
            <w:r>
              <w:rPr>
                <w:sz w:val="20"/>
              </w:rPr>
              <w:t>0-800-051-8245</w:t>
            </w:r>
          </w:p>
        </w:tc>
      </w:tr>
      <w:tr>
        <w:trPr/>
        <w:tc>
          <w:tcPr>
            <w:tcW w:w="2330" w:type="dxa"/>
            <w:tcBorders/>
            <w:vAlign w:val="center"/>
          </w:tcPr>
          <w:p>
            <w:pPr>
              <w:pStyle w:val="TableContents"/>
              <w:bidi w:val="0"/>
              <w:spacing w:before="0" w:after="283"/>
              <w:jc w:val="both"/>
              <w:rPr>
                <w:sz w:val="20"/>
              </w:rPr>
            </w:pPr>
            <w:r>
              <w:rPr>
                <w:sz w:val="20"/>
              </w:rPr>
              <w:t>Mainland China (Toll Free):</w:t>
            </w:r>
          </w:p>
        </w:tc>
        <w:tc>
          <w:tcPr>
            <w:tcW w:w="1475" w:type="dxa"/>
            <w:tcBorders/>
            <w:vAlign w:val="center"/>
          </w:tcPr>
          <w:p>
            <w:pPr>
              <w:pStyle w:val="TableContents"/>
              <w:bidi w:val="0"/>
              <w:spacing w:before="0" w:after="283"/>
              <w:jc w:val="both"/>
              <w:rPr>
                <w:sz w:val="20"/>
              </w:rPr>
            </w:pPr>
            <w:r>
              <w:rPr>
                <w:sz w:val="20"/>
              </w:rPr>
              <w:t>4001-200-659</w:t>
            </w:r>
          </w:p>
        </w:tc>
      </w:tr>
      <w:tr>
        <w:trPr/>
        <w:tc>
          <w:tcPr>
            <w:tcW w:w="2330" w:type="dxa"/>
            <w:tcBorders/>
            <w:vAlign w:val="center"/>
          </w:tcPr>
          <w:p>
            <w:pPr>
              <w:pStyle w:val="TableContents"/>
              <w:bidi w:val="0"/>
              <w:spacing w:before="0" w:after="283"/>
              <w:jc w:val="both"/>
              <w:rPr>
                <w:sz w:val="20"/>
              </w:rPr>
            </w:pPr>
            <w:r>
              <w:rPr>
                <w:sz w:val="20"/>
              </w:rPr>
              <w:t>Hong Kong (Toll Free):</w:t>
            </w:r>
          </w:p>
        </w:tc>
        <w:tc>
          <w:tcPr>
            <w:tcW w:w="1475" w:type="dxa"/>
            <w:tcBorders/>
            <w:vAlign w:val="center"/>
          </w:tcPr>
          <w:p>
            <w:pPr>
              <w:pStyle w:val="TableContents"/>
              <w:bidi w:val="0"/>
              <w:spacing w:before="0" w:after="283"/>
              <w:jc w:val="both"/>
              <w:rPr>
                <w:sz w:val="20"/>
              </w:rPr>
            </w:pPr>
            <w:r>
              <w:rPr>
                <w:sz w:val="20"/>
              </w:rPr>
              <w:t>800-966-806</w:t>
            </w:r>
          </w:p>
        </w:tc>
      </w:tr>
      <w:tr>
        <w:trPr/>
        <w:tc>
          <w:tcPr>
            <w:tcW w:w="2330" w:type="dxa"/>
            <w:tcBorders/>
            <w:vAlign w:val="center"/>
          </w:tcPr>
          <w:p>
            <w:pPr>
              <w:pStyle w:val="TableContents"/>
              <w:bidi w:val="0"/>
              <w:spacing w:before="0" w:after="283"/>
              <w:jc w:val="both"/>
              <w:rPr>
                <w:sz w:val="20"/>
              </w:rPr>
            </w:pPr>
            <w:r>
              <w:rPr>
                <w:sz w:val="20"/>
              </w:rPr>
              <w:t>Singapore (Toll Free):</w:t>
            </w:r>
          </w:p>
        </w:tc>
        <w:tc>
          <w:tcPr>
            <w:tcW w:w="1475" w:type="dxa"/>
            <w:tcBorders/>
            <w:vAlign w:val="center"/>
          </w:tcPr>
          <w:p>
            <w:pPr>
              <w:pStyle w:val="TableContents"/>
              <w:bidi w:val="0"/>
              <w:spacing w:before="0" w:after="283"/>
              <w:jc w:val="both"/>
              <w:rPr>
                <w:sz w:val="20"/>
              </w:rPr>
            </w:pPr>
            <w:r>
              <w:rPr>
                <w:sz w:val="20"/>
              </w:rPr>
              <w:t>800-101-2785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should dial in at least 10 minutes before the scheduled start time and ask to be connected to the call for “UCLOUDLINK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at https://ir.ucloudlink.com.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will be available one hour after the end of the conference until August 26, 2026 by dialing:</w:t>
      </w:r>
    </w:p>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910"/>
        <w:gridCol w:w="1475"/>
      </w:tblGrid>
      <w:tr>
        <w:trPr/>
        <w:tc>
          <w:tcPr>
            <w:tcW w:w="1910" w:type="dxa"/>
            <w:tcBorders/>
            <w:vAlign w:val="center"/>
          </w:tcPr>
          <w:p>
            <w:pPr>
              <w:pStyle w:val="TableContents"/>
              <w:bidi w:val="0"/>
              <w:spacing w:before="0" w:after="283"/>
              <w:jc w:val="both"/>
              <w:rPr>
                <w:sz w:val="20"/>
              </w:rPr>
            </w:pPr>
            <w:r>
              <w:rPr>
                <w:sz w:val="20"/>
              </w:rPr>
              <w:t>US/Canada (Toll Free):</w:t>
            </w:r>
          </w:p>
        </w:tc>
        <w:tc>
          <w:tcPr>
            <w:tcW w:w="1475" w:type="dxa"/>
            <w:tcBorders/>
            <w:vAlign w:val="center"/>
          </w:tcPr>
          <w:p>
            <w:pPr>
              <w:pStyle w:val="TableContents"/>
              <w:bidi w:val="0"/>
              <w:spacing w:before="0" w:after="283"/>
              <w:jc w:val="both"/>
              <w:rPr>
                <w:sz w:val="20"/>
              </w:rPr>
            </w:pPr>
            <w:r>
              <w:rPr>
                <w:sz w:val="20"/>
              </w:rPr>
              <w:t>1-855-883-1031</w:t>
            </w:r>
          </w:p>
        </w:tc>
      </w:tr>
      <w:tr>
        <w:trPr/>
        <w:tc>
          <w:tcPr>
            <w:tcW w:w="1910" w:type="dxa"/>
            <w:tcBorders/>
            <w:vAlign w:val="center"/>
          </w:tcPr>
          <w:p>
            <w:pPr>
              <w:pStyle w:val="TableContents"/>
              <w:bidi w:val="0"/>
              <w:spacing w:before="0" w:after="283"/>
              <w:jc w:val="both"/>
              <w:rPr>
                <w:sz w:val="20"/>
              </w:rPr>
            </w:pPr>
            <w:r>
              <w:rPr>
                <w:sz w:val="20"/>
              </w:rPr>
              <w:t>International:</w:t>
            </w:r>
          </w:p>
        </w:tc>
        <w:tc>
          <w:tcPr>
            <w:tcW w:w="1475" w:type="dxa"/>
            <w:tcBorders/>
            <w:vAlign w:val="center"/>
          </w:tcPr>
          <w:p>
            <w:pPr>
              <w:pStyle w:val="TableContents"/>
              <w:bidi w:val="0"/>
              <w:spacing w:before="0" w:after="283"/>
              <w:jc w:val="both"/>
              <w:rPr>
                <w:sz w:val="20"/>
              </w:rPr>
            </w:pPr>
            <w:r>
              <w:rPr>
                <w:sz w:val="20"/>
              </w:rPr>
              <w:t>+61-7-3107-6325</w:t>
            </w:r>
          </w:p>
        </w:tc>
      </w:tr>
      <w:tr>
        <w:trPr/>
        <w:tc>
          <w:tcPr>
            <w:tcW w:w="1910" w:type="dxa"/>
            <w:tcBorders/>
            <w:vAlign w:val="center"/>
          </w:tcPr>
          <w:p>
            <w:pPr>
              <w:pStyle w:val="TableContents"/>
              <w:bidi w:val="0"/>
              <w:spacing w:before="0" w:after="283"/>
              <w:jc w:val="both"/>
              <w:rPr>
                <w:sz w:val="20"/>
              </w:rPr>
            </w:pPr>
            <w:r>
              <w:rPr>
                <w:sz w:val="20"/>
              </w:rPr>
              <w:t>Replay Passcode:</w:t>
            </w:r>
          </w:p>
        </w:tc>
        <w:tc>
          <w:tcPr>
            <w:tcW w:w="1475" w:type="dxa"/>
            <w:tcBorders/>
            <w:vAlign w:val="center"/>
          </w:tcPr>
          <w:p>
            <w:pPr>
              <w:pStyle w:val="TableContents"/>
              <w:bidi w:val="0"/>
              <w:spacing w:before="0" w:after="283"/>
              <w:jc w:val="both"/>
              <w:rPr>
                <w:sz w:val="20"/>
              </w:rPr>
            </w:pPr>
            <w:r>
              <w:rPr>
                <w:sz w:val="20"/>
              </w:rPr>
              <w:t>10053729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UCLOUDLINK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UCLOUDLINK is the world’s first and leading mobile data traffic sharing marketplace, pioneering the sharing economy business model for the telecommunications industry. The Company’s products and services deliver unique value propositions to mobile data users, handset and smart-hardware companies, mobile virtual network operators (MVNOs) and mobile network operators (MNOs). Leveraging its innovative cloud SIM technology and architecture, the Company has redefined the mobile data connectivity experience by allowing users to gain access to mobile data traffic allowance shared by network operators on its marketplace, while providing reliable connectivity, high speeds and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financial guidance and quotations from management in this announcement, as well as UCLOUDLINK’s strategic and operational plans, contain forward-looking statements. UCLOUDLINK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UCLOUDLINK’s beliefs and expectations, are forward-looking statements. Forward looking statements involve inherent risks and uncertainties. A number of factors could cause actual results to differ materially from those contained in any forward-looking statement, including but not limited to the following: UCLOUDLINK’s strategies; UCLOUDLINK’s future business development, financial condition and results of operations; UCLOUDLINK’s ability to increase its user base and usage of its mobile data connectivity services, and improve operational efficiency; competition in the global mobile data connectivity service industry; changes in UCLOUDLINK’s revenues, costs or expenditures; governmental policies and regulations relating to the global mobile data connectivity service industry,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UCLOUDLINK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20"/>
              </w:rPr>
            </w:pPr>
            <w:r>
              <w:rPr>
                <w:sz w:val="20"/>
              </w:rPr>
              <w:t>UCLOUDLINK GROUP INC.</w:t>
            </w:r>
          </w:p>
        </w:tc>
      </w:tr>
      <w:tr>
        <w:trPr/>
        <w:tc>
          <w:tcPr>
            <w:tcW w:w="3650" w:type="dxa"/>
            <w:tcBorders/>
            <w:vAlign w:val="center"/>
          </w:tcPr>
          <w:p>
            <w:pPr>
              <w:pStyle w:val="TableContents"/>
              <w:bidi w:val="0"/>
              <w:spacing w:before="0" w:after="283"/>
              <w:jc w:val="left"/>
              <w:rPr>
                <w:sz w:val="20"/>
              </w:rPr>
            </w:pPr>
            <w:r>
              <w:rPr>
                <w:sz w:val="20"/>
              </w:rPr>
              <w:t>Daniel Gao</w:t>
            </w:r>
          </w:p>
        </w:tc>
      </w:tr>
      <w:tr>
        <w:trPr/>
        <w:tc>
          <w:tcPr>
            <w:tcW w:w="3650" w:type="dxa"/>
            <w:tcBorders/>
            <w:vAlign w:val="center"/>
          </w:tcPr>
          <w:p>
            <w:pPr>
              <w:pStyle w:val="TableContents"/>
              <w:bidi w:val="0"/>
              <w:spacing w:before="0" w:after="283"/>
              <w:jc w:val="left"/>
              <w:rPr>
                <w:sz w:val="20"/>
              </w:rPr>
            </w:pPr>
            <w:r>
              <w:rPr>
                <w:sz w:val="20"/>
              </w:rPr>
              <w:t>Tel: +852-2180-6111</w:t>
            </w:r>
          </w:p>
        </w:tc>
      </w:tr>
      <w:tr>
        <w:trPr/>
        <w:tc>
          <w:tcPr>
            <w:tcW w:w="3650" w:type="dxa"/>
            <w:tcBorders/>
            <w:vAlign w:val="center"/>
          </w:tcPr>
          <w:p>
            <w:pPr>
              <w:pStyle w:val="TableContents"/>
              <w:bidi w:val="0"/>
              <w:spacing w:before="0" w:after="283"/>
              <w:jc w:val="left"/>
              <w:rPr>
                <w:sz w:val="20"/>
              </w:rPr>
            </w:pPr>
            <w:r>
              <w:rPr>
                <w:sz w:val="20"/>
              </w:rPr>
              <w:t>E-mail: ir@ucloudlink.com</w:t>
            </w:r>
          </w:p>
        </w:tc>
      </w:tr>
      <w:tr>
        <w:trPr/>
        <w:tc>
          <w:tcPr>
            <w:tcW w:w="365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jc w:val="left"/>
              <w:rPr>
                <w:sz w:val="20"/>
              </w:rPr>
            </w:pPr>
            <w:r>
              <w:rPr>
                <w:sz w:val="20"/>
              </w:rPr>
              <w:t>Investor Relations:</w:t>
            </w:r>
          </w:p>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Christensen Advisory</w:t>
            </w:r>
          </w:p>
        </w:tc>
      </w:tr>
      <w:tr>
        <w:trPr/>
        <w:tc>
          <w:tcPr>
            <w:tcW w:w="3650" w:type="dxa"/>
            <w:tcBorders/>
            <w:vAlign w:val="center"/>
          </w:tcPr>
          <w:p>
            <w:pPr>
              <w:pStyle w:val="TableContents"/>
              <w:bidi w:val="0"/>
              <w:spacing w:before="0" w:after="283"/>
              <w:jc w:val="left"/>
              <w:rPr>
                <w:sz w:val="20"/>
              </w:rPr>
            </w:pPr>
            <w:r>
              <w:rPr>
                <w:sz w:val="20"/>
              </w:rPr>
              <w:t>Christian Arnell, Managing Director</w:t>
            </w:r>
          </w:p>
        </w:tc>
      </w:tr>
      <w:tr>
        <w:trPr/>
        <w:tc>
          <w:tcPr>
            <w:tcW w:w="3650" w:type="dxa"/>
            <w:tcBorders/>
            <w:vAlign w:val="center"/>
          </w:tcPr>
          <w:p>
            <w:pPr>
              <w:pStyle w:val="TableContents"/>
              <w:bidi w:val="0"/>
              <w:spacing w:before="0" w:after="283"/>
              <w:jc w:val="left"/>
              <w:rPr>
                <w:sz w:val="20"/>
              </w:rPr>
            </w:pPr>
            <w:r>
              <w:rPr>
                <w:sz w:val="20"/>
              </w:rPr>
              <w:t>Tel: +852-2117-0861</w:t>
            </w:r>
          </w:p>
        </w:tc>
      </w:tr>
      <w:tr>
        <w:trPr/>
        <w:tc>
          <w:tcPr>
            <w:tcW w:w="3650" w:type="dxa"/>
            <w:tcBorders/>
            <w:vAlign w:val="center"/>
          </w:tcPr>
          <w:p>
            <w:pPr>
              <w:pStyle w:val="TableContents"/>
              <w:bidi w:val="0"/>
              <w:spacing w:before="0" w:after="283"/>
              <w:jc w:val="left"/>
              <w:rPr>
                <w:sz w:val="20"/>
              </w:rPr>
            </w:pPr>
            <w:r>
              <w:rPr>
                <w:sz w:val="20"/>
              </w:rPr>
              <w:t>E-mail: ucloudlink@christensencomms.com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6230"/>
        <w:gridCol w:w="60"/>
        <w:gridCol w:w="89"/>
        <w:gridCol w:w="1325"/>
        <w:gridCol w:w="95"/>
        <w:gridCol w:w="60"/>
        <w:gridCol w:w="60"/>
        <w:gridCol w:w="875"/>
        <w:gridCol w:w="359"/>
      </w:tblGrid>
      <w:tr>
        <w:trPr/>
        <w:tc>
          <w:tcPr>
            <w:tcW w:w="6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As of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 xml:space="preserve">As of </w:t>
              <w:br/>
              <w:t>June 30,</w:t>
            </w:r>
          </w:p>
        </w:tc>
        <w:tc>
          <w:tcPr>
            <w:tcW w:w="359"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59"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both"/>
              <w:rPr/>
            </w:pPr>
            <w:r>
              <w:rPr/>
              <w:t> </w:t>
            </w:r>
          </w:p>
        </w:tc>
        <w:tc>
          <w:tcPr>
            <w:tcW w:w="359"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both"/>
              <w:rPr>
                <w:b/>
              </w:rPr>
            </w:pPr>
            <w:r>
              <w:rPr>
                <w:b/>
              </w:rPr>
              <w:t>Current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both"/>
              <w:rPr/>
            </w:pPr>
            <w:r>
              <w:rPr/>
              <w:t> </w:t>
            </w:r>
          </w:p>
        </w:tc>
        <w:tc>
          <w:tcPr>
            <w:tcW w:w="359"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25,196</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6,198</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3,994</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6,259</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Other investments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12,189</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359" w:type="dxa"/>
            <w:tcBorders/>
            <w:shd w:fill="FFFFFF" w:val="clear"/>
            <w:vAlign w:val="center"/>
          </w:tcPr>
          <w:p>
            <w:pPr>
              <w:pStyle w:val="TableContents"/>
              <w:bidi w:val="0"/>
              <w:spacing w:before="0" w:after="283"/>
              <w:ind w:left="0" w:right="0" w:firstLine="141"/>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53,837</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359" w:type="dxa"/>
            <w:tcBorders/>
            <w:shd w:fill="FFFFFF" w:val="clear"/>
            <w:vAlign w:val="center"/>
          </w:tcPr>
          <w:p>
            <w:pPr>
              <w:pStyle w:val="TableContents"/>
              <w:bidi w:val="0"/>
              <w:spacing w:before="0" w:after="283"/>
              <w:ind w:left="0" w:right="0" w:firstLine="284"/>
              <w:jc w:val="left"/>
              <w:rPr/>
            </w:pPr>
            <w:r>
              <w:rPr/>
              <w:t> </w:t>
            </w:r>
          </w:p>
        </w:tc>
      </w:tr>
      <w:tr>
        <w:trPr/>
        <w:tc>
          <w:tcPr>
            <w:tcW w:w="6230" w:type="dxa"/>
            <w:tcBorders/>
            <w:shd w:fill="CCEEFF" w:val="clear"/>
            <w:vAlign w:val="center"/>
          </w:tcPr>
          <w:p>
            <w:pPr>
              <w:pStyle w:val="TableContents"/>
              <w:bidi w:val="0"/>
              <w:spacing w:before="0" w:after="283"/>
              <w:jc w:val="both"/>
              <w:rPr/>
            </w:pPr>
            <w:r>
              <w:rPr/>
              <w:t>Prepayments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w:t>
            </w:r>
          </w:p>
        </w:tc>
        <w:tc>
          <w:tcPr>
            <w:tcW w:w="359" w:type="dxa"/>
            <w:tcBorders/>
            <w:shd w:fill="CCEEFF" w:val="clear"/>
            <w:vAlign w:val="center"/>
          </w:tcPr>
          <w:p>
            <w:pPr>
              <w:pStyle w:val="TableContents"/>
              <w:bidi w:val="0"/>
              <w:spacing w:before="0" w:after="283"/>
              <w:ind w:left="0" w:right="0" w:firstLine="284"/>
              <w:jc w:val="left"/>
              <w:rPr/>
            </w:pPr>
            <w:r>
              <w:rPr/>
              <w:t> </w:t>
            </w:r>
          </w:p>
        </w:tc>
      </w:tr>
      <w:tr>
        <w:trPr/>
        <w:tc>
          <w:tcPr>
            <w:tcW w:w="6230" w:type="dxa"/>
            <w:tcBorders/>
            <w:shd w:fill="FFFFFF" w:val="clear"/>
            <w:vAlign w:val="center"/>
          </w:tcPr>
          <w:p>
            <w:pPr>
              <w:pStyle w:val="TableContents"/>
              <w:bidi w:val="0"/>
              <w:spacing w:before="0" w:after="283"/>
              <w:jc w:val="both"/>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2,106</w:t>
            </w:r>
          </w:p>
        </w:tc>
        <w:tc>
          <w:tcPr>
            <w:tcW w:w="359" w:type="dxa"/>
            <w:tcBorders/>
            <w:shd w:fill="FFFFFF" w:val="clear"/>
            <w:vAlign w:val="center"/>
          </w:tcPr>
          <w:p>
            <w:pPr>
              <w:pStyle w:val="TableContents"/>
              <w:bidi w:val="0"/>
              <w:spacing w:before="0" w:after="283"/>
              <w:ind w:left="0" w:right="0" w:firstLine="284"/>
              <w:jc w:val="left"/>
              <w:rPr/>
            </w:pPr>
            <w:r>
              <w:rPr/>
              <w:t> </w:t>
            </w:r>
          </w:p>
        </w:tc>
      </w:tr>
      <w:tr>
        <w:trPr/>
        <w:tc>
          <w:tcPr>
            <w:tcW w:w="623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1,300</w:t>
            </w:r>
          </w:p>
        </w:tc>
        <w:tc>
          <w:tcPr>
            <w:tcW w:w="359" w:type="dxa"/>
            <w:tcBorders/>
            <w:shd w:fill="CCEEFF" w:val="clear"/>
            <w:vAlign w:val="center"/>
          </w:tcPr>
          <w:p>
            <w:pPr>
              <w:pStyle w:val="TableContents"/>
              <w:bidi w:val="0"/>
              <w:spacing w:before="0" w:after="283"/>
              <w:ind w:left="0" w:right="0" w:firstLine="284"/>
              <w:jc w:val="left"/>
              <w:rPr/>
            </w:pPr>
            <w:r>
              <w:rPr/>
              <w:t> </w:t>
            </w:r>
          </w:p>
        </w:tc>
      </w:tr>
      <w:tr>
        <w:trPr/>
        <w:tc>
          <w:tcPr>
            <w:tcW w:w="6230" w:type="dxa"/>
            <w:tcBorders/>
            <w:shd w:fill="FFFFFF" w:val="clear"/>
            <w:vAlign w:val="center"/>
          </w:tcPr>
          <w:p>
            <w:pPr>
              <w:pStyle w:val="TableContents"/>
              <w:bidi w:val="0"/>
              <w:spacing w:before="0" w:after="283"/>
              <w:jc w:val="both"/>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2,634</w:t>
            </w:r>
          </w:p>
        </w:tc>
        <w:tc>
          <w:tcPr>
            <w:tcW w:w="359" w:type="dxa"/>
            <w:tcBorders/>
            <w:shd w:fill="FFFFFF" w:val="clear"/>
            <w:vAlign w:val="center"/>
          </w:tcPr>
          <w:p>
            <w:pPr>
              <w:pStyle w:val="TableContents"/>
              <w:bidi w:val="0"/>
              <w:spacing w:before="0" w:after="283"/>
              <w:ind w:left="0" w:right="0" w:firstLine="284"/>
              <w:jc w:val="left"/>
              <w:rPr/>
            </w:pPr>
            <w:r>
              <w:rPr/>
              <w:t> </w:t>
            </w:r>
          </w:p>
        </w:tc>
      </w:tr>
      <w:tr>
        <w:trPr/>
        <w:tc>
          <w:tcPr>
            <w:tcW w:w="623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463</w:t>
            </w:r>
          </w:p>
        </w:tc>
        <w:tc>
          <w:tcPr>
            <w:tcW w:w="359" w:type="dxa"/>
            <w:tcBorders/>
            <w:shd w:fill="CCEEFF" w:val="clear"/>
            <w:vAlign w:val="center"/>
          </w:tcPr>
          <w:p>
            <w:pPr>
              <w:pStyle w:val="TableContents"/>
              <w:bidi w:val="0"/>
              <w:spacing w:before="0" w:after="283"/>
              <w:ind w:left="0" w:right="0" w:firstLine="141"/>
              <w:jc w:val="left"/>
              <w:rPr/>
            </w:pPr>
            <w:r>
              <w:rPr/>
              <w:t> </w:t>
            </w:r>
          </w:p>
        </w:tc>
      </w:tr>
      <w:tr>
        <w:trPr/>
        <w:tc>
          <w:tcPr>
            <w:tcW w:w="6230"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6,566</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60,403</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Short term borrowings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9,458</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Current portion of long-term bank loans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17,485</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7,193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3,914</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126</w:t>
            </w:r>
          </w:p>
        </w:tc>
        <w:tc>
          <w:tcPr>
            <w:tcW w:w="359" w:type="dxa"/>
            <w:tcBorders/>
            <w:shd w:fill="CCEEFF" w:val="clear"/>
            <w:vAlign w:val="center"/>
          </w:tcPr>
          <w:p>
            <w:pPr>
              <w:pStyle w:val="TableContents"/>
              <w:bidi w:val="0"/>
              <w:spacing w:before="0" w:after="283"/>
              <w:ind w:left="0" w:right="0" w:firstLine="284"/>
              <w:jc w:val="left"/>
              <w:rPr/>
            </w:pPr>
            <w:r>
              <w:rPr/>
              <w:t> </w:t>
            </w:r>
          </w:p>
        </w:tc>
      </w:tr>
      <w:tr>
        <w:trPr/>
        <w:tc>
          <w:tcPr>
            <w:tcW w:w="6230" w:type="dxa"/>
            <w:tcBorders/>
            <w:shd w:fill="FFFFFF" w:val="clear"/>
            <w:vAlign w:val="center"/>
          </w:tcPr>
          <w:p>
            <w:pPr>
              <w:pStyle w:val="TableContents"/>
              <w:bidi w:val="0"/>
              <w:spacing w:before="0" w:after="283"/>
              <w:jc w:val="both"/>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3,425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2,051</w:t>
            </w:r>
          </w:p>
        </w:tc>
        <w:tc>
          <w:tcPr>
            <w:tcW w:w="359" w:type="dxa"/>
            <w:tcBorders/>
            <w:shd w:fill="FFFFFF" w:val="clear"/>
            <w:vAlign w:val="center"/>
          </w:tcPr>
          <w:p>
            <w:pPr>
              <w:pStyle w:val="TableContents"/>
              <w:bidi w:val="0"/>
              <w:spacing w:before="0" w:after="283"/>
              <w:ind w:left="0" w:right="0" w:firstLine="284"/>
              <w:jc w:val="left"/>
              <w:rPr/>
            </w:pPr>
            <w:r>
              <w:rPr/>
              <w:t> </w:t>
            </w:r>
          </w:p>
        </w:tc>
      </w:tr>
      <w:tr>
        <w:trPr/>
        <w:tc>
          <w:tcPr>
            <w:tcW w:w="6230" w:type="dxa"/>
            <w:tcBorders/>
            <w:shd w:fill="CCEEFF" w:val="clear"/>
            <w:vAlign w:val="center"/>
          </w:tcPr>
          <w:p>
            <w:pPr>
              <w:pStyle w:val="TableContents"/>
              <w:bidi w:val="0"/>
              <w:spacing w:before="0" w:after="283"/>
              <w:jc w:val="both"/>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1,078</w:t>
            </w:r>
          </w:p>
        </w:tc>
        <w:tc>
          <w:tcPr>
            <w:tcW w:w="359" w:type="dxa"/>
            <w:tcBorders/>
            <w:shd w:fill="CCEEFF" w:val="clear"/>
            <w:vAlign w:val="center"/>
          </w:tcPr>
          <w:p>
            <w:pPr>
              <w:pStyle w:val="TableContents"/>
              <w:bidi w:val="0"/>
              <w:spacing w:before="0" w:after="283"/>
              <w:ind w:left="0" w:right="0" w:firstLine="141"/>
              <w:jc w:val="left"/>
              <w:rPr/>
            </w:pPr>
            <w:r>
              <w:rPr/>
              <w:t> </w:t>
            </w:r>
          </w:p>
        </w:tc>
      </w:tr>
      <w:tr>
        <w:trPr/>
        <w:tc>
          <w:tcPr>
            <w:tcW w:w="6230"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34,182</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Long term borrowings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1,639</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1,548</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359" w:type="dxa"/>
            <w:tcBorders/>
            <w:shd w:fill="FFFFFF" w:val="clear"/>
            <w:vAlign w:val="center"/>
          </w:tcPr>
          <w:p>
            <w:pPr>
              <w:pStyle w:val="TableContents"/>
              <w:bidi w:val="0"/>
              <w:spacing w:before="0" w:after="283"/>
              <w:ind w:left="0" w:right="0" w:firstLine="141"/>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3,213</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37,395</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359" w:type="dxa"/>
            <w:tcBorders/>
            <w:shd w:fill="FFFFFF" w:val="clear"/>
            <w:vAlign w:val="center"/>
          </w:tcPr>
          <w:p>
            <w:pPr>
              <w:pStyle w:val="TableContents"/>
              <w:bidi w:val="0"/>
              <w:spacing w:before="0" w:after="283"/>
              <w:ind w:left="0" w:right="0" w:firstLine="284"/>
              <w:jc w:val="left"/>
              <w:rPr/>
            </w:pPr>
            <w:r>
              <w:rPr/>
              <w:t> </w:t>
            </w:r>
          </w:p>
        </w:tc>
      </w:tr>
      <w:tr>
        <w:trPr/>
        <w:tc>
          <w:tcPr>
            <w:tcW w:w="6230" w:type="dxa"/>
            <w:tcBorders/>
            <w:shd w:fill="CCEEFF" w:val="clear"/>
            <w:vAlign w:val="center"/>
          </w:tcPr>
          <w:p>
            <w:pPr>
              <w:pStyle w:val="TableContents"/>
              <w:bidi w:val="0"/>
              <w:spacing w:before="0" w:after="283"/>
              <w:jc w:val="both"/>
              <w:rPr/>
            </w:pPr>
            <w:r>
              <w:rPr/>
              <w:t>Class A ordinary shares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w:t>
            </w:r>
          </w:p>
        </w:tc>
        <w:tc>
          <w:tcPr>
            <w:tcW w:w="359" w:type="dxa"/>
            <w:tcBorders/>
            <w:shd w:fill="CCEEFF" w:val="clear"/>
            <w:vAlign w:val="center"/>
          </w:tcPr>
          <w:p>
            <w:pPr>
              <w:pStyle w:val="TableContents"/>
              <w:bidi w:val="0"/>
              <w:spacing w:before="0" w:after="283"/>
              <w:ind w:left="0" w:right="0" w:firstLine="284"/>
              <w:jc w:val="left"/>
              <w:rPr/>
            </w:pPr>
            <w:r>
              <w:rPr/>
              <w:t> </w:t>
            </w:r>
          </w:p>
        </w:tc>
      </w:tr>
      <w:tr>
        <w:trPr/>
        <w:tc>
          <w:tcPr>
            <w:tcW w:w="6230" w:type="dxa"/>
            <w:tcBorders/>
            <w:shd w:fill="FFFFFF" w:val="clear"/>
            <w:vAlign w:val="center"/>
          </w:tcPr>
          <w:p>
            <w:pPr>
              <w:pStyle w:val="TableContents"/>
              <w:bidi w:val="0"/>
              <w:spacing w:before="0" w:after="283"/>
              <w:jc w:val="both"/>
              <w:rPr/>
            </w:pPr>
            <w:r>
              <w:rPr/>
              <w:t>Class B ordinary shares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w:t>
            </w:r>
          </w:p>
        </w:tc>
        <w:tc>
          <w:tcPr>
            <w:tcW w:w="359" w:type="dxa"/>
            <w:tcBorders/>
            <w:shd w:fill="FFFFFF" w:val="clear"/>
            <w:vAlign w:val="center"/>
          </w:tcPr>
          <w:p>
            <w:pPr>
              <w:pStyle w:val="TableContents"/>
              <w:bidi w:val="0"/>
              <w:spacing w:before="0" w:after="283"/>
              <w:ind w:left="0" w:right="0" w:firstLine="284"/>
              <w:jc w:val="left"/>
              <w:rPr/>
            </w:pPr>
            <w:r>
              <w:rPr/>
              <w:t> </w:t>
            </w:r>
          </w:p>
        </w:tc>
      </w:tr>
      <w:tr>
        <w:trPr/>
        <w:tc>
          <w:tcPr>
            <w:tcW w:w="6230"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242,421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242,785</w:t>
            </w:r>
          </w:p>
        </w:tc>
        <w:tc>
          <w:tcPr>
            <w:tcW w:w="359"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2,388</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(215,707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(222,184</w:t>
            </w:r>
          </w:p>
        </w:tc>
        <w:tc>
          <w:tcPr>
            <w:tcW w:w="359" w:type="dxa"/>
            <w:tcBorders/>
            <w:shd w:fill="CCEEFF" w:val="clear"/>
            <w:vAlign w:val="center"/>
          </w:tcPr>
          <w:p>
            <w:pPr>
              <w:pStyle w:val="TableContents"/>
              <w:bidi w:val="0"/>
              <w:spacing w:before="0" w:after="283"/>
              <w:jc w:val="left"/>
              <w:rPr/>
            </w:pPr>
            <w:r>
              <w:rPr/>
              <w:t>)</w:t>
            </w:r>
          </w:p>
        </w:tc>
      </w:tr>
      <w:tr>
        <w:trPr/>
        <w:tc>
          <w:tcPr>
            <w:tcW w:w="6230" w:type="dxa"/>
            <w:tcBorders/>
            <w:shd w:fill="FFFFFF" w:val="clear"/>
            <w:vAlign w:val="center"/>
          </w:tcPr>
          <w:p>
            <w:pPr>
              <w:pStyle w:val="TableContents"/>
              <w:bidi w:val="0"/>
              <w:spacing w:before="0" w:after="283"/>
              <w:jc w:val="both"/>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23,008</w:t>
            </w:r>
          </w:p>
        </w:tc>
        <w:tc>
          <w:tcPr>
            <w:tcW w:w="359"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60,403</w:t>
            </w:r>
          </w:p>
        </w:tc>
        <w:tc>
          <w:tcPr>
            <w:tcW w:w="35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COMPREHENSIVE INCOME/(LOSS)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8"/>
        <w:gridCol w:w="60"/>
        <w:gridCol w:w="60"/>
        <w:gridCol w:w="1243"/>
        <w:gridCol w:w="96"/>
        <w:gridCol w:w="60"/>
        <w:gridCol w:w="60"/>
        <w:gridCol w:w="1243"/>
        <w:gridCol w:w="95"/>
        <w:gridCol w:w="60"/>
        <w:gridCol w:w="60"/>
        <w:gridCol w:w="1220"/>
        <w:gridCol w:w="95"/>
        <w:gridCol w:w="60"/>
        <w:gridCol w:w="60"/>
        <w:gridCol w:w="1220"/>
        <w:gridCol w:w="295"/>
      </w:tblGrid>
      <w:tr>
        <w:trPr/>
        <w:tc>
          <w:tcPr>
            <w:tcW w:w="4218"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295" w:type="dxa"/>
            <w:tcBorders/>
            <w:vAlign w:val="center"/>
          </w:tcPr>
          <w:p>
            <w:pPr>
              <w:pStyle w:val="TableContents"/>
              <w:bidi w:val="0"/>
              <w:spacing w:before="0" w:after="283"/>
              <w:ind w:left="0" w:right="0" w:hanging="180"/>
              <w:jc w:val="left"/>
              <w:rPr/>
            </w:pPr>
            <w:r>
              <w:rPr/>
              <w:t> </w:t>
            </w:r>
          </w:p>
        </w:tc>
      </w:tr>
      <w:tr>
        <w:trPr/>
        <w:tc>
          <w:tcPr>
            <w:tcW w:w="421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95" w:type="dxa"/>
            <w:tcBorders/>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both"/>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19,376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18,234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38,125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35,093</w:t>
            </w:r>
          </w:p>
        </w:tc>
        <w:tc>
          <w:tcPr>
            <w:tcW w:w="295" w:type="dxa"/>
            <w:tcBorders/>
            <w:shd w:fill="CCEEFF" w:val="clear"/>
            <w:vAlign w:val="center"/>
          </w:tcPr>
          <w:p>
            <w:pPr>
              <w:pStyle w:val="TableContents"/>
              <w:bidi w:val="0"/>
              <w:spacing w:before="0" w:after="283"/>
              <w:ind w:left="0" w:right="0" w:firstLine="180"/>
              <w:jc w:val="left"/>
              <w:rPr/>
            </w:pPr>
            <w:r>
              <w:rPr/>
              <w:t> </w:t>
            </w:r>
          </w:p>
        </w:tc>
      </w:tr>
      <w:tr>
        <w:trPr/>
        <w:tc>
          <w:tcPr>
            <w:tcW w:w="4218" w:type="dxa"/>
            <w:tcBorders/>
            <w:shd w:fill="FFFFFF" w:val="clear"/>
            <w:vAlign w:val="center"/>
          </w:tcPr>
          <w:p>
            <w:pPr>
              <w:pStyle w:val="TableContents"/>
              <w:bidi w:val="0"/>
              <w:spacing w:before="0" w:after="283"/>
              <w:jc w:val="both"/>
              <w:rPr/>
            </w:pPr>
            <w:r>
              <w:rPr/>
              <w:t>Revenues from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14,629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13,288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26,588</w:t>
            </w:r>
          </w:p>
        </w:tc>
        <w:tc>
          <w:tcPr>
            <w:tcW w:w="295" w:type="dxa"/>
            <w:tcBorders/>
            <w:shd w:fill="FFFFFF" w:val="clear"/>
            <w:vAlign w:val="center"/>
          </w:tcPr>
          <w:p>
            <w:pPr>
              <w:pStyle w:val="TableContents"/>
              <w:bidi w:val="0"/>
              <w:spacing w:before="0" w:after="283"/>
              <w:ind w:left="0" w:right="0" w:firstLine="180"/>
              <w:jc w:val="left"/>
              <w:rPr/>
            </w:pPr>
            <w:r>
              <w:rPr/>
              <w:t> </w:t>
            </w:r>
          </w:p>
        </w:tc>
      </w:tr>
      <w:tr>
        <w:trPr/>
        <w:tc>
          <w:tcPr>
            <w:tcW w:w="4218" w:type="dxa"/>
            <w:tcBorders/>
            <w:shd w:fill="CCEEFF" w:val="clear"/>
            <w:vAlign w:val="center"/>
          </w:tcPr>
          <w:p>
            <w:pPr>
              <w:pStyle w:val="TableContents"/>
              <w:bidi w:val="0"/>
              <w:spacing w:before="0" w:after="283"/>
              <w:jc w:val="both"/>
              <w:rPr/>
            </w:pPr>
            <w:r>
              <w:rPr/>
              <w:t>Sales of products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4,747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8,505</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(9,147</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(9,073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(18,206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(17,659</w:t>
            </w:r>
          </w:p>
        </w:tc>
        <w:tc>
          <w:tcPr>
            <w:tcW w:w="295" w:type="dxa"/>
            <w:tcBorders/>
            <w:shd w:fill="FFFFFF" w:val="clear"/>
            <w:vAlign w:val="center"/>
          </w:tcPr>
          <w:p>
            <w:pPr>
              <w:pStyle w:val="TableContents"/>
              <w:bidi w:val="0"/>
              <w:spacing w:before="0" w:after="283"/>
              <w:ind w:left="0" w:right="0" w:firstLine="180"/>
              <w:jc w:val="left"/>
              <w:rPr>
                <w:b/>
              </w:rPr>
            </w:pPr>
            <w:r>
              <w:rPr>
                <w:b/>
              </w:rPr>
              <w:t>)</w:t>
            </w:r>
          </w:p>
        </w:tc>
      </w:tr>
      <w:tr>
        <w:trPr/>
        <w:tc>
          <w:tcPr>
            <w:tcW w:w="4218" w:type="dxa"/>
            <w:tcBorders/>
            <w:shd w:fill="CCEEFF" w:val="clear"/>
            <w:vAlign w:val="center"/>
          </w:tcPr>
          <w:p>
            <w:pPr>
              <w:pStyle w:val="TableContents"/>
              <w:bidi w:val="0"/>
              <w:spacing w:before="0" w:after="283"/>
              <w:jc w:val="both"/>
              <w:rPr/>
            </w:pPr>
            <w:r>
              <w:rPr/>
              <w:t>Cost of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(6,347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(5,437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(11,492</w:t>
            </w:r>
          </w:p>
        </w:tc>
        <w:tc>
          <w:tcPr>
            <w:tcW w:w="295" w:type="dxa"/>
            <w:tcBorders/>
            <w:shd w:fill="CCEEFF" w:val="clear"/>
            <w:vAlign w:val="center"/>
          </w:tcPr>
          <w:p>
            <w:pPr>
              <w:pStyle w:val="TableContents"/>
              <w:bidi w:val="0"/>
              <w:spacing w:before="0" w:after="283"/>
              <w:ind w:left="0" w:right="0" w:firstLine="180"/>
              <w:jc w:val="left"/>
              <w:rPr/>
            </w:pPr>
            <w:r>
              <w:rPr/>
              <w:t>)</w:t>
            </w:r>
          </w:p>
        </w:tc>
      </w:tr>
      <w:tr>
        <w:trPr/>
        <w:tc>
          <w:tcPr>
            <w:tcW w:w="4218" w:type="dxa"/>
            <w:tcBorders/>
            <w:shd w:fill="FFFFFF" w:val="clear"/>
            <w:vAlign w:val="center"/>
          </w:tcPr>
          <w:p>
            <w:pPr>
              <w:pStyle w:val="TableContents"/>
              <w:bidi w:val="0"/>
              <w:spacing w:before="0" w:after="283"/>
              <w:jc w:val="both"/>
              <w:rPr/>
            </w:pPr>
            <w:r>
              <w:rPr/>
              <w:t>Cost of products sold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(2,800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(3,636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(6,167</w:t>
            </w:r>
          </w:p>
        </w:tc>
        <w:tc>
          <w:tcPr>
            <w:tcW w:w="295" w:type="dxa"/>
            <w:tcBorders/>
            <w:shd w:fill="FFFFFF" w:val="clear"/>
            <w:vAlign w:val="center"/>
          </w:tcPr>
          <w:p>
            <w:pPr>
              <w:pStyle w:val="TableContents"/>
              <w:bidi w:val="0"/>
              <w:spacing w:before="0" w:after="283"/>
              <w:ind w:left="0" w:right="0" w:hanging="180"/>
              <w:jc w:val="left"/>
              <w:rPr/>
            </w:pPr>
            <w:r>
              <w:rPr/>
              <w:t>)</w:t>
            </w:r>
          </w:p>
        </w:tc>
      </w:tr>
      <w:tr>
        <w:trPr/>
        <w:tc>
          <w:tcPr>
            <w:tcW w:w="4218"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10,229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9,161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19,919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17,434</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(1,566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(2,032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(3,660</w:t>
            </w:r>
          </w:p>
        </w:tc>
        <w:tc>
          <w:tcPr>
            <w:tcW w:w="295" w:type="dxa"/>
            <w:tcBorders/>
            <w:shd w:fill="FFFFFF" w:val="clear"/>
            <w:vAlign w:val="center"/>
          </w:tcPr>
          <w:p>
            <w:pPr>
              <w:pStyle w:val="TableContents"/>
              <w:bidi w:val="0"/>
              <w:spacing w:before="0" w:after="283"/>
              <w:ind w:left="0" w:right="0" w:hanging="180"/>
              <w:jc w:val="left"/>
              <w:rPr/>
            </w:pPr>
            <w:r>
              <w:rPr/>
              <w:t>)</w:t>
            </w:r>
          </w:p>
        </w:tc>
      </w:tr>
      <w:tr>
        <w:trPr/>
        <w:tc>
          <w:tcPr>
            <w:tcW w:w="4218" w:type="dxa"/>
            <w:tcBorders/>
            <w:shd w:fill="CCEEFF" w:val="clear"/>
            <w:vAlign w:val="center"/>
          </w:tcPr>
          <w:p>
            <w:pPr>
              <w:pStyle w:val="TableContents"/>
              <w:bidi w:val="0"/>
              <w:spacing w:before="0" w:after="283"/>
              <w:jc w:val="both"/>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(5,503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(13,038</w:t>
            </w:r>
          </w:p>
        </w:tc>
        <w:tc>
          <w:tcPr>
            <w:tcW w:w="295" w:type="dxa"/>
            <w:tcBorders/>
            <w:shd w:fill="CCEEFF" w:val="clear"/>
            <w:vAlign w:val="center"/>
          </w:tcPr>
          <w:p>
            <w:pPr>
              <w:pStyle w:val="TableContents"/>
              <w:bidi w:val="0"/>
              <w:spacing w:before="0" w:after="283"/>
              <w:ind w:left="0" w:right="0" w:hanging="180"/>
              <w:jc w:val="left"/>
              <w:rPr/>
            </w:pPr>
            <w:r>
              <w:rPr/>
              <w:t>)</w:t>
            </w:r>
          </w:p>
        </w:tc>
      </w:tr>
      <w:tr>
        <w:trPr/>
        <w:tc>
          <w:tcPr>
            <w:tcW w:w="4218"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(3,363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(2,942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(5,874</w:t>
            </w:r>
          </w:p>
        </w:tc>
        <w:tc>
          <w:tcPr>
            <w:tcW w:w="295" w:type="dxa"/>
            <w:tcBorders/>
            <w:shd w:fill="FFFFFF" w:val="clear"/>
            <w:vAlign w:val="center"/>
          </w:tcPr>
          <w:p>
            <w:pPr>
              <w:pStyle w:val="TableContents"/>
              <w:bidi w:val="0"/>
              <w:spacing w:before="0" w:after="283"/>
              <w:ind w:left="0" w:right="0" w:hanging="180"/>
              <w:jc w:val="left"/>
              <w:rPr/>
            </w:pPr>
            <w:r>
              <w:rPr/>
              <w:t>)</w:t>
            </w:r>
          </w:p>
        </w:tc>
      </w:tr>
      <w:tr>
        <w:trPr/>
        <w:tc>
          <w:tcPr>
            <w:tcW w:w="4218" w:type="dxa"/>
            <w:tcBorders/>
            <w:shd w:fill="CCEEFF" w:val="clear"/>
            <w:vAlign w:val="center"/>
          </w:tcPr>
          <w:p>
            <w:pPr>
              <w:pStyle w:val="TableContents"/>
              <w:bidi w:val="0"/>
              <w:spacing w:before="0" w:after="283"/>
              <w:jc w:val="both"/>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1,011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(1,225</w:t>
            </w:r>
          </w:p>
        </w:tc>
        <w:tc>
          <w:tcPr>
            <w:tcW w:w="295" w:type="dxa"/>
            <w:tcBorders/>
            <w:shd w:fill="CCEEFF" w:val="clear"/>
            <w:vAlign w:val="center"/>
          </w:tcPr>
          <w:p>
            <w:pPr>
              <w:pStyle w:val="TableContents"/>
              <w:bidi w:val="0"/>
              <w:spacing w:before="0" w:after="283"/>
              <w:ind w:left="0" w:right="0" w:hanging="180"/>
              <w:jc w:val="left"/>
              <w:rPr/>
            </w:pPr>
            <w:r>
              <w:rPr/>
              <w:t>)</w:t>
            </w:r>
          </w:p>
        </w:tc>
      </w:tr>
      <w:tr>
        <w:trPr/>
        <w:tc>
          <w:tcPr>
            <w:tcW w:w="4218" w:type="dxa"/>
            <w:tcBorders/>
            <w:shd w:fill="FFFFFF" w:val="clear"/>
            <w:vAlign w:val="center"/>
          </w:tcPr>
          <w:p>
            <w:pPr>
              <w:pStyle w:val="TableContents"/>
              <w:bidi w:val="0"/>
              <w:spacing w:before="0" w:after="283"/>
              <w:jc w:val="both"/>
              <w:rPr>
                <w:b/>
              </w:rPr>
            </w:pPr>
            <w:r>
              <w:rPr>
                <w:b/>
              </w:rPr>
              <w:t>Income/(loss)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808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(2,894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(6,363</w:t>
            </w:r>
          </w:p>
        </w:tc>
        <w:tc>
          <w:tcPr>
            <w:tcW w:w="295" w:type="dxa"/>
            <w:tcBorders/>
            <w:shd w:fill="FFFFFF" w:val="clear"/>
            <w:vAlign w:val="center"/>
          </w:tcPr>
          <w:p>
            <w:pPr>
              <w:pStyle w:val="TableContents"/>
              <w:bidi w:val="0"/>
              <w:spacing w:before="0" w:after="283"/>
              <w:ind w:left="0" w:right="0" w:hanging="180"/>
              <w:jc w:val="left"/>
              <w:rPr>
                <w:b/>
              </w:rPr>
            </w:pPr>
            <w:r>
              <w:rPr>
                <w:b/>
              </w:rPr>
              <w:t>)</w:t>
            </w:r>
          </w:p>
        </w:tc>
      </w:tr>
      <w:tr>
        <w:trPr/>
        <w:tc>
          <w:tcPr>
            <w:tcW w:w="4218"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(137</w:t>
            </w:r>
          </w:p>
        </w:tc>
        <w:tc>
          <w:tcPr>
            <w:tcW w:w="295" w:type="dxa"/>
            <w:tcBorders/>
            <w:shd w:fill="FFFFFF" w:val="clear"/>
            <w:vAlign w:val="center"/>
          </w:tcPr>
          <w:p>
            <w:pPr>
              <w:pStyle w:val="TableContents"/>
              <w:bidi w:val="0"/>
              <w:spacing w:before="0" w:after="283"/>
              <w:ind w:left="0" w:right="0" w:hanging="180"/>
              <w:jc w:val="left"/>
              <w:rPr/>
            </w:pPr>
            <w:r>
              <w:rPr/>
              <w:t>)</w:t>
            </w:r>
          </w:p>
        </w:tc>
      </w:tr>
      <w:tr>
        <w:trPr/>
        <w:tc>
          <w:tcPr>
            <w:tcW w:w="4218" w:type="dxa"/>
            <w:tcBorders/>
            <w:shd w:fill="CCEEFF" w:val="clear"/>
            <w:vAlign w:val="center"/>
          </w:tcPr>
          <w:p>
            <w:pPr>
              <w:pStyle w:val="TableContents"/>
              <w:bidi w:val="0"/>
              <w:spacing w:before="0" w:after="283"/>
              <w:jc w:val="both"/>
              <w:rPr>
                <w:b/>
              </w:rPr>
            </w:pPr>
            <w:r>
              <w:rPr>
                <w:b/>
              </w:rPr>
              <w:t>Income/(loss)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780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(2,972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(6,494</w:t>
            </w:r>
          </w:p>
        </w:tc>
        <w:tc>
          <w:tcPr>
            <w:tcW w:w="295" w:type="dxa"/>
            <w:tcBorders/>
            <w:shd w:fill="CCEEFF" w:val="clear"/>
            <w:vAlign w:val="center"/>
          </w:tcPr>
          <w:p>
            <w:pPr>
              <w:pStyle w:val="TableContents"/>
              <w:bidi w:val="0"/>
              <w:spacing w:before="0" w:after="283"/>
              <w:ind w:left="0" w:right="0" w:hanging="180"/>
              <w:jc w:val="left"/>
              <w:rPr>
                <w:b/>
              </w:rPr>
            </w:pPr>
            <w:r>
              <w:rPr>
                <w:b/>
              </w:rPr>
              <w:t>)</w:t>
            </w:r>
          </w:p>
        </w:tc>
      </w:tr>
      <w:tr>
        <w:trPr/>
        <w:tc>
          <w:tcPr>
            <w:tcW w:w="4218"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w:t>
            </w:r>
          </w:p>
        </w:tc>
        <w:tc>
          <w:tcPr>
            <w:tcW w:w="295"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both"/>
              <w:rPr/>
            </w:pPr>
            <w:r>
              <w:rPr/>
              <w:t>Share of loss in equity method investment,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295" w:type="dxa"/>
            <w:tcBorders/>
            <w:shd w:fill="CCEEFF" w:val="clear"/>
            <w:vAlign w:val="center"/>
          </w:tcPr>
          <w:p>
            <w:pPr>
              <w:pStyle w:val="TableContents"/>
              <w:bidi w:val="0"/>
              <w:spacing w:before="0" w:after="283"/>
              <w:ind w:left="0" w:right="0" w:hanging="180"/>
              <w:jc w:val="left"/>
              <w:rPr/>
            </w:pPr>
            <w:r>
              <w:rPr/>
              <w:t>)</w:t>
            </w:r>
          </w:p>
        </w:tc>
      </w:tr>
      <w:tr>
        <w:trPr/>
        <w:tc>
          <w:tcPr>
            <w:tcW w:w="4218" w:type="dxa"/>
            <w:tcBorders/>
            <w:shd w:fill="FFFFFF" w:val="clear"/>
            <w:vAlign w:val="center"/>
          </w:tcPr>
          <w:p>
            <w:pPr>
              <w:pStyle w:val="TableContents"/>
              <w:bidi w:val="0"/>
              <w:spacing w:before="0" w:after="283"/>
              <w:jc w:val="both"/>
              <w:rPr>
                <w:b/>
              </w:rPr>
            </w:pPr>
            <w:r>
              <w:rPr>
                <w:b/>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678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(2,984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(6,477</w:t>
            </w:r>
          </w:p>
        </w:tc>
        <w:tc>
          <w:tcPr>
            <w:tcW w:w="295" w:type="dxa"/>
            <w:tcBorders/>
            <w:shd w:fill="FFFFFF" w:val="clear"/>
            <w:vAlign w:val="center"/>
          </w:tcPr>
          <w:p>
            <w:pPr>
              <w:pStyle w:val="TableContents"/>
              <w:bidi w:val="0"/>
              <w:spacing w:before="0" w:after="283"/>
              <w:ind w:left="0" w:right="0" w:hanging="180"/>
              <w:jc w:val="left"/>
              <w:rPr>
                <w:b/>
              </w:rPr>
            </w:pPr>
            <w:r>
              <w:rPr>
                <w:b/>
              </w:rPr>
              <w:t>)</w:t>
            </w:r>
          </w:p>
        </w:tc>
      </w:tr>
      <w:tr>
        <w:trPr/>
        <w:tc>
          <w:tcPr>
            <w:tcW w:w="4218" w:type="dxa"/>
            <w:tcBorders/>
            <w:shd w:fill="CCEEFF" w:val="clear"/>
            <w:vAlign w:val="center"/>
          </w:tcPr>
          <w:p>
            <w:pPr>
              <w:pStyle w:val="TableContents"/>
              <w:bidi w:val="0"/>
              <w:spacing w:before="0" w:after="283"/>
              <w:jc w:val="both"/>
              <w:rPr>
                <w:b/>
              </w:rPr>
            </w:pPr>
            <w:r>
              <w:rPr>
                <w:b/>
              </w:rPr>
              <w:t>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pPr>
            <w:r>
              <w:rPr/>
              <w:t>Equity 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678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(2,984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(6,477</w:t>
            </w:r>
          </w:p>
        </w:tc>
        <w:tc>
          <w:tcPr>
            <w:tcW w:w="295" w:type="dxa"/>
            <w:tcBorders/>
            <w:shd w:fill="FFFFFF" w:val="clear"/>
            <w:vAlign w:val="center"/>
          </w:tcPr>
          <w:p>
            <w:pPr>
              <w:pStyle w:val="TableContents"/>
              <w:bidi w:val="0"/>
              <w:spacing w:before="0" w:after="283"/>
              <w:ind w:left="0" w:right="0" w:hanging="180"/>
              <w:jc w:val="left"/>
              <w:rPr/>
            </w:pPr>
            <w:r>
              <w:rPr/>
              <w:t>)</w:t>
            </w:r>
          </w:p>
        </w:tc>
      </w:tr>
      <w:tr>
        <w:trPr/>
        <w:tc>
          <w:tcPr>
            <w:tcW w:w="421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pPr>
            <w:r>
              <w:rPr/>
              <w:t>Earnings/(loss) per share for Class A and Class B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ind w:left="0" w:right="0" w:firstLine="180"/>
              <w:jc w:val="left"/>
              <w:rPr/>
            </w:pPr>
            <w:r>
              <w:rPr/>
              <w:t> </w:t>
            </w:r>
          </w:p>
        </w:tc>
      </w:tr>
      <w:tr>
        <w:trPr/>
        <w:tc>
          <w:tcPr>
            <w:tcW w:w="4218"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0.00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(0.02</w:t>
            </w:r>
          </w:p>
        </w:tc>
        <w:tc>
          <w:tcPr>
            <w:tcW w:w="295" w:type="dxa"/>
            <w:tcBorders/>
            <w:shd w:fill="CCEEFF" w:val="clear"/>
            <w:vAlign w:val="center"/>
          </w:tcPr>
          <w:p>
            <w:pPr>
              <w:pStyle w:val="TableContents"/>
              <w:bidi w:val="0"/>
              <w:spacing w:before="0" w:after="283"/>
              <w:ind w:left="0" w:right="0" w:firstLine="180"/>
              <w:jc w:val="left"/>
              <w:rPr/>
            </w:pPr>
            <w:r>
              <w:rPr/>
              <w:t>)</w:t>
            </w:r>
          </w:p>
        </w:tc>
      </w:tr>
      <w:tr>
        <w:trPr/>
        <w:tc>
          <w:tcPr>
            <w:tcW w:w="4218"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0.00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295" w:type="dxa"/>
            <w:tcBorders/>
            <w:shd w:fill="FFFFFF" w:val="clear"/>
            <w:vAlign w:val="center"/>
          </w:tcPr>
          <w:p>
            <w:pPr>
              <w:pStyle w:val="TableContents"/>
              <w:bidi w:val="0"/>
              <w:spacing w:before="0" w:after="283"/>
              <w:ind w:left="0" w:right="0" w:hanging="180"/>
              <w:jc w:val="left"/>
              <w:rPr/>
            </w:pPr>
            <w:r>
              <w:rPr/>
              <w:t>)</w:t>
            </w:r>
          </w:p>
        </w:tc>
      </w:tr>
      <w:tr>
        <w:trPr/>
        <w:tc>
          <w:tcPr>
            <w:tcW w:w="421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pPr>
            <w:r>
              <w:rPr/>
              <w:t>Earnings/(loss) per ADS (10 Class A shares equal to 1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ind w:left="0" w:right="0" w:firstLine="180"/>
              <w:jc w:val="left"/>
              <w:rPr/>
            </w:pPr>
            <w:r>
              <w:rPr/>
              <w:t> </w:t>
            </w:r>
          </w:p>
        </w:tc>
      </w:tr>
      <w:tr>
        <w:trPr/>
        <w:tc>
          <w:tcPr>
            <w:tcW w:w="4218"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0.02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(0.17</w:t>
            </w:r>
          </w:p>
        </w:tc>
        <w:tc>
          <w:tcPr>
            <w:tcW w:w="295" w:type="dxa"/>
            <w:tcBorders/>
            <w:shd w:fill="CCEEFF" w:val="clear"/>
            <w:vAlign w:val="center"/>
          </w:tcPr>
          <w:p>
            <w:pPr>
              <w:pStyle w:val="TableContents"/>
              <w:bidi w:val="0"/>
              <w:spacing w:before="0" w:after="283"/>
              <w:ind w:left="0" w:right="0" w:firstLine="180"/>
              <w:jc w:val="left"/>
              <w:rPr/>
            </w:pPr>
            <w:r>
              <w:rPr/>
              <w:t>)</w:t>
            </w:r>
          </w:p>
        </w:tc>
      </w:tr>
      <w:tr>
        <w:trPr/>
        <w:tc>
          <w:tcPr>
            <w:tcW w:w="4218"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0.02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(0.17</w:t>
            </w:r>
          </w:p>
        </w:tc>
        <w:tc>
          <w:tcPr>
            <w:tcW w:w="295" w:type="dxa"/>
            <w:tcBorders/>
            <w:shd w:fill="FFFFFF" w:val="clear"/>
            <w:vAlign w:val="center"/>
          </w:tcPr>
          <w:p>
            <w:pPr>
              <w:pStyle w:val="TableContents"/>
              <w:bidi w:val="0"/>
              <w:spacing w:before="0" w:after="283"/>
              <w:ind w:left="0" w:right="0" w:hanging="0"/>
              <w:jc w:val="left"/>
              <w:rPr/>
            </w:pPr>
            <w:r>
              <w:rPr/>
              <w:t>)</w:t>
            </w:r>
          </w:p>
        </w:tc>
      </w:tr>
      <w:tr>
        <w:trPr/>
        <w:tc>
          <w:tcPr>
            <w:tcW w:w="421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Shares used in earnings/(loss) per Class A and Class B ordinary share computation: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ind w:left="0" w:right="0" w:firstLine="180"/>
              <w:jc w:val="left"/>
              <w:rPr/>
            </w:pPr>
            <w:r>
              <w:rPr/>
              <w:t> </w:t>
            </w:r>
          </w:p>
        </w:tc>
      </w:tr>
      <w:tr>
        <w:trPr/>
        <w:tc>
          <w:tcPr>
            <w:tcW w:w="4218"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377,175,245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381,933,784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376,711,468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381,372,062</w:t>
            </w:r>
          </w:p>
        </w:tc>
        <w:tc>
          <w:tcPr>
            <w:tcW w:w="295" w:type="dxa"/>
            <w:tcBorders/>
            <w:shd w:fill="CCEEFF" w:val="clear"/>
            <w:vAlign w:val="center"/>
          </w:tcPr>
          <w:p>
            <w:pPr>
              <w:pStyle w:val="TableContents"/>
              <w:bidi w:val="0"/>
              <w:spacing w:before="0" w:after="283"/>
              <w:ind w:left="0" w:right="0" w:firstLine="180"/>
              <w:jc w:val="left"/>
              <w:rPr/>
            </w:pPr>
            <w:r>
              <w:rPr/>
              <w:t> </w:t>
            </w:r>
          </w:p>
        </w:tc>
      </w:tr>
      <w:tr>
        <w:trPr/>
        <w:tc>
          <w:tcPr>
            <w:tcW w:w="4218"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377,175,245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381,933,784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376,711,468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381,372,062</w:t>
            </w:r>
          </w:p>
        </w:tc>
        <w:tc>
          <w:tcPr>
            <w:tcW w:w="295"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b/>
              </w:rPr>
            </w:pPr>
            <w:r>
              <w:rPr>
                <w:b/>
              </w:rPr>
              <w:t>Net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678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(2,984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(6,477</w:t>
            </w:r>
          </w:p>
        </w:tc>
        <w:tc>
          <w:tcPr>
            <w:tcW w:w="295" w:type="dxa"/>
            <w:tcBorders/>
            <w:shd w:fill="FFFFFF" w:val="clear"/>
            <w:vAlign w:val="center"/>
          </w:tcPr>
          <w:p>
            <w:pPr>
              <w:pStyle w:val="TableContents"/>
              <w:bidi w:val="0"/>
              <w:spacing w:before="0" w:after="283"/>
              <w:ind w:left="0" w:right="0" w:hanging="180"/>
              <w:jc w:val="left"/>
              <w:rPr>
                <w:b/>
              </w:rPr>
            </w:pPr>
            <w:r>
              <w:rPr>
                <w:b/>
              </w:rPr>
              <w:t>)</w:t>
            </w:r>
          </w:p>
        </w:tc>
      </w:tr>
      <w:tr>
        <w:trPr/>
        <w:tc>
          <w:tcPr>
            <w:tcW w:w="4218" w:type="dxa"/>
            <w:tcBorders/>
            <w:shd w:fill="CCEEFF" w:val="clear"/>
            <w:vAlign w:val="center"/>
          </w:tcPr>
          <w:p>
            <w:pPr>
              <w:pStyle w:val="TableContents"/>
              <w:bidi w:val="0"/>
              <w:spacing w:before="0" w:after="283"/>
              <w:jc w:val="both"/>
              <w:rPr>
                <w:b/>
              </w:rPr>
            </w:pPr>
            <w:r>
              <w:rPr>
                <w:b/>
              </w:rPr>
              <w:t>Other comprehensive income/(loss),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both"/>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313</w:t>
            </w:r>
          </w:p>
        </w:tc>
        <w:tc>
          <w:tcPr>
            <w:tcW w:w="295"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both"/>
              <w:rPr>
                <w:b/>
              </w:rPr>
            </w:pPr>
            <w:r>
              <w:rPr>
                <w:b/>
              </w:rPr>
              <w:t>Total comprehensive income/(loss)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(6,164</w:t>
            </w:r>
          </w:p>
        </w:tc>
        <w:tc>
          <w:tcPr>
            <w:tcW w:w="29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2"/>
        <w:gridCol w:w="60"/>
        <w:gridCol w:w="99"/>
        <w:gridCol w:w="1127"/>
        <w:gridCol w:w="157"/>
        <w:gridCol w:w="99"/>
        <w:gridCol w:w="99"/>
        <w:gridCol w:w="1127"/>
        <w:gridCol w:w="95"/>
        <w:gridCol w:w="60"/>
        <w:gridCol w:w="86"/>
        <w:gridCol w:w="989"/>
        <w:gridCol w:w="137"/>
        <w:gridCol w:w="86"/>
        <w:gridCol w:w="86"/>
        <w:gridCol w:w="1099"/>
        <w:gridCol w:w="117"/>
      </w:tblGrid>
      <w:tr>
        <w:trPr/>
        <w:tc>
          <w:tcPr>
            <w:tcW w:w="46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117" w:type="dxa"/>
            <w:tcBorders/>
            <w:vAlign w:val="center"/>
          </w:tcPr>
          <w:p>
            <w:pPr>
              <w:pStyle w:val="TableContents"/>
              <w:bidi w:val="0"/>
              <w:spacing w:before="0" w:after="283"/>
              <w:jc w:val="left"/>
              <w:rPr/>
            </w:pPr>
            <w:r>
              <w:rPr/>
              <w:t> </w:t>
            </w:r>
          </w:p>
        </w:tc>
      </w:tr>
      <w:tr>
        <w:trPr/>
        <w:tc>
          <w:tcPr>
            <w:tcW w:w="46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7" w:type="dxa"/>
            <w:tcBorders/>
            <w:vAlign w:val="center"/>
          </w:tcPr>
          <w:p>
            <w:pPr>
              <w:pStyle w:val="TableContents"/>
              <w:bidi w:val="0"/>
              <w:spacing w:before="0" w:after="283"/>
              <w:jc w:val="left"/>
              <w:rPr/>
            </w:pPr>
            <w:r>
              <w:rPr/>
              <w:t> </w:t>
            </w:r>
          </w:p>
        </w:tc>
      </w:tr>
      <w:tr>
        <w:trPr/>
        <w:tc>
          <w:tcPr>
            <w:tcW w:w="4682"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(877</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(641</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(11,709</w:t>
            </w:r>
          </w:p>
        </w:tc>
        <w:tc>
          <w:tcPr>
            <w:tcW w:w="117" w:type="dxa"/>
            <w:tcBorders/>
            <w:shd w:fill="CCEEFF" w:val="clear"/>
            <w:vAlign w:val="center"/>
          </w:tcPr>
          <w:p>
            <w:pPr>
              <w:pStyle w:val="TableContents"/>
              <w:bidi w:val="0"/>
              <w:spacing w:before="0" w:after="283"/>
              <w:jc w:val="left"/>
              <w:rPr/>
            </w:pPr>
            <w:r>
              <w:rPr/>
              <w:t>)</w:t>
            </w:r>
          </w:p>
        </w:tc>
      </w:tr>
      <w:tr>
        <w:trPr/>
        <w:tc>
          <w:tcPr>
            <w:tcW w:w="4682" w:type="dxa"/>
            <w:tcBorders/>
            <w:shd w:fill="FFFFFF" w:val="clear"/>
            <w:vAlign w:val="center"/>
          </w:tcPr>
          <w:p>
            <w:pPr>
              <w:pStyle w:val="TableContents"/>
              <w:bidi w:val="0"/>
              <w:spacing w:before="0" w:after="283"/>
              <w:jc w:val="both"/>
              <w:rPr/>
            </w:pPr>
            <w:r>
              <w:rPr/>
              <w:t>Net cash (used in)/generated from investing activities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(150</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(500</w:t>
            </w:r>
          </w:p>
        </w:tc>
        <w:tc>
          <w:tcPr>
            <w:tcW w:w="137"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11</w:t>
            </w:r>
          </w:p>
        </w:tc>
        <w:tc>
          <w:tcPr>
            <w:tcW w:w="117" w:type="dxa"/>
            <w:tcBorders/>
            <w:shd w:fill="FFFFFF" w:val="clear"/>
            <w:vAlign w:val="center"/>
          </w:tcPr>
          <w:p>
            <w:pPr>
              <w:pStyle w:val="TableContents"/>
              <w:bidi w:val="0"/>
              <w:spacing w:before="0" w:after="283"/>
              <w:jc w:val="left"/>
              <w:rPr/>
            </w:pPr>
            <w:r>
              <w:rPr/>
              <w:t> </w:t>
            </w:r>
          </w:p>
        </w:tc>
      </w:tr>
      <w:tr>
        <w:trPr/>
        <w:tc>
          <w:tcPr>
            <w:tcW w:w="4682" w:type="dxa"/>
            <w:tcBorders/>
            <w:shd w:fill="CCEEFF" w:val="clear"/>
            <w:vAlign w:val="center"/>
          </w:tcPr>
          <w:p>
            <w:pPr>
              <w:pStyle w:val="TableContents"/>
              <w:bidi w:val="0"/>
              <w:spacing w:before="0" w:after="283"/>
              <w:jc w:val="both"/>
              <w:rPr/>
            </w:pPr>
            <w:r>
              <w:rPr/>
              <w:t>Net cash generated from financing activities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976</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3,629</w:t>
            </w:r>
          </w:p>
        </w:tc>
        <w:tc>
          <w:tcPr>
            <w:tcW w:w="117" w:type="dxa"/>
            <w:tcBorders/>
            <w:shd w:fill="CCEEFF" w:val="clear"/>
            <w:vAlign w:val="center"/>
          </w:tcPr>
          <w:p>
            <w:pPr>
              <w:pStyle w:val="TableContents"/>
              <w:bidi w:val="0"/>
              <w:spacing w:before="0" w:after="283"/>
              <w:jc w:val="left"/>
              <w:rPr/>
            </w:pPr>
            <w:r>
              <w:rPr/>
              <w:t> </w:t>
            </w:r>
          </w:p>
        </w:tc>
      </w:tr>
      <w:tr>
        <w:trPr/>
        <w:tc>
          <w:tcPr>
            <w:tcW w:w="4682" w:type="dxa"/>
            <w:tcBorders/>
            <w:shd w:fill="FFFFFF" w:val="clear"/>
            <w:vAlign w:val="center"/>
          </w:tcPr>
          <w:p>
            <w:pPr>
              <w:pStyle w:val="TableContents"/>
              <w:bidi w:val="0"/>
              <w:spacing w:before="0" w:after="283"/>
              <w:jc w:val="both"/>
              <w:rPr/>
            </w:pPr>
            <w:r>
              <w:rPr/>
              <w:t>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(1,027</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(3,024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(165</w:t>
            </w:r>
          </w:p>
        </w:tc>
        <w:tc>
          <w:tcPr>
            <w:tcW w:w="137"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(8,069</w:t>
            </w:r>
          </w:p>
        </w:tc>
        <w:tc>
          <w:tcPr>
            <w:tcW w:w="117" w:type="dxa"/>
            <w:tcBorders/>
            <w:shd w:fill="FFFFFF" w:val="clear"/>
            <w:vAlign w:val="center"/>
          </w:tcPr>
          <w:p>
            <w:pPr>
              <w:pStyle w:val="TableContents"/>
              <w:bidi w:val="0"/>
              <w:spacing w:before="0" w:after="283"/>
              <w:jc w:val="left"/>
              <w:rPr/>
            </w:pPr>
            <w:r>
              <w:rPr/>
              <w:t>)</w:t>
            </w:r>
          </w:p>
        </w:tc>
      </w:tr>
      <w:tr>
        <w:trPr/>
        <w:tc>
          <w:tcPr>
            <w:tcW w:w="4682" w:type="dxa"/>
            <w:tcBorders/>
            <w:shd w:fill="CCEEFF" w:val="clear"/>
            <w:vAlign w:val="center"/>
          </w:tcPr>
          <w:p>
            <w:pPr>
              <w:pStyle w:val="TableContents"/>
              <w:bidi w:val="0"/>
              <w:spacing w:before="0" w:after="283"/>
              <w:jc w:val="both"/>
              <w:rPr/>
            </w:pPr>
            <w:r>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31,075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27,998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30,057</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32,831</w:t>
            </w:r>
          </w:p>
        </w:tc>
        <w:tc>
          <w:tcPr>
            <w:tcW w:w="117" w:type="dxa"/>
            <w:tcBorders/>
            <w:shd w:fill="CCEEFF" w:val="clear"/>
            <w:vAlign w:val="center"/>
          </w:tcPr>
          <w:p>
            <w:pPr>
              <w:pStyle w:val="TableContents"/>
              <w:bidi w:val="0"/>
              <w:spacing w:before="0" w:after="283"/>
              <w:jc w:val="left"/>
              <w:rPr/>
            </w:pPr>
            <w:r>
              <w:rPr/>
              <w:t> </w:t>
            </w:r>
          </w:p>
        </w:tc>
      </w:tr>
      <w:tr>
        <w:trPr/>
        <w:tc>
          <w:tcPr>
            <w:tcW w:w="4682" w:type="dxa"/>
            <w:tcBorders/>
            <w:shd w:fill="FFFFFF" w:val="clear"/>
            <w:vAlign w:val="center"/>
          </w:tcPr>
          <w:p>
            <w:pPr>
              <w:pStyle w:val="TableContents"/>
              <w:bidi w:val="0"/>
              <w:spacing w:before="0" w:after="283"/>
              <w:jc w:val="both"/>
              <w:rPr/>
            </w:pPr>
            <w:r>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right"/>
              <w:rPr/>
            </w:pPr>
            <w:r>
              <w:rPr/>
              <w:t>156</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right"/>
              <w:rPr/>
            </w:pPr>
            <w:r>
              <w:rPr/>
              <w:t>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312</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FFFFFF" w:val="clear"/>
            <w:tcMar>
              <w:bottom w:w="28" w:type="dxa"/>
            </w:tcMar>
            <w:vAlign w:val="center"/>
          </w:tcPr>
          <w:p>
            <w:pPr>
              <w:pStyle w:val="TableContents"/>
              <w:bidi w:val="0"/>
              <w:spacing w:before="0" w:after="283"/>
              <w:jc w:val="right"/>
              <w:rPr/>
            </w:pPr>
            <w:r>
              <w:rPr/>
              <w:t>434</w:t>
            </w:r>
          </w:p>
        </w:tc>
        <w:tc>
          <w:tcPr>
            <w:tcW w:w="117" w:type="dxa"/>
            <w:tcBorders/>
            <w:shd w:fill="FFFFFF" w:val="clear"/>
            <w:vAlign w:val="center"/>
          </w:tcPr>
          <w:p>
            <w:pPr>
              <w:pStyle w:val="TableContents"/>
              <w:bidi w:val="0"/>
              <w:spacing w:before="0" w:after="283"/>
              <w:jc w:val="left"/>
              <w:rPr/>
            </w:pPr>
            <w:r>
              <w:rPr/>
              <w:t> </w:t>
            </w:r>
          </w:p>
        </w:tc>
      </w:tr>
      <w:tr>
        <w:trPr/>
        <w:tc>
          <w:tcPr>
            <w:tcW w:w="4682" w:type="dxa"/>
            <w:tcBorders/>
            <w:shd w:fill="CCEEFF" w:val="clear"/>
            <w:vAlign w:val="center"/>
          </w:tcPr>
          <w:p>
            <w:pPr>
              <w:pStyle w:val="TableContents"/>
              <w:bidi w:val="0"/>
              <w:spacing w:before="0" w:after="283"/>
              <w:jc w:val="both"/>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30,204</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30,204</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25,196</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RECONCILIATIONS OF NON-GAAP AND GAAP RESULTS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4"/>
        <w:gridCol w:w="60"/>
        <w:gridCol w:w="105"/>
        <w:gridCol w:w="805"/>
        <w:gridCol w:w="167"/>
        <w:gridCol w:w="105"/>
        <w:gridCol w:w="105"/>
        <w:gridCol w:w="1124"/>
        <w:gridCol w:w="95"/>
        <w:gridCol w:w="60"/>
        <w:gridCol w:w="104"/>
        <w:gridCol w:w="666"/>
        <w:gridCol w:w="104"/>
        <w:gridCol w:w="104"/>
        <w:gridCol w:w="104"/>
        <w:gridCol w:w="1114"/>
        <w:gridCol w:w="119"/>
      </w:tblGrid>
      <w:tr>
        <w:trPr/>
        <w:tc>
          <w:tcPr>
            <w:tcW w:w="5264"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4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119" w:type="dxa"/>
            <w:tcBorders/>
            <w:vAlign w:val="center"/>
          </w:tcPr>
          <w:p>
            <w:pPr>
              <w:pStyle w:val="TableContents"/>
              <w:bidi w:val="0"/>
              <w:spacing w:before="0" w:after="283"/>
              <w:ind w:left="0" w:right="0" w:hanging="180"/>
              <w:jc w:val="left"/>
              <w:rPr/>
            </w:pPr>
            <w:r>
              <w:rPr/>
              <w:t> </w:t>
            </w:r>
          </w:p>
        </w:tc>
      </w:tr>
      <w:tr>
        <w:trPr/>
        <w:tc>
          <w:tcPr>
            <w:tcW w:w="52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6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9" w:type="dxa"/>
            <w:tcBorders/>
            <w:vAlign w:val="center"/>
          </w:tcPr>
          <w:p>
            <w:pPr>
              <w:pStyle w:val="TableContents"/>
              <w:bidi w:val="0"/>
              <w:spacing w:before="0" w:after="283"/>
              <w:ind w:left="0" w:right="0" w:hanging="180"/>
              <w:jc w:val="left"/>
              <w:rPr/>
            </w:pPr>
            <w:r>
              <w:rPr/>
              <w:t> </w:t>
            </w:r>
          </w:p>
        </w:tc>
      </w:tr>
      <w:tr>
        <w:trPr/>
        <w:tc>
          <w:tcPr>
            <w:tcW w:w="5264" w:type="dxa"/>
            <w:tcBorders/>
            <w:vAlign w:val="center"/>
          </w:tcPr>
          <w:p>
            <w:pPr>
              <w:pStyle w:val="TableContents"/>
              <w:bidi w:val="0"/>
              <w:spacing w:before="0" w:after="283"/>
              <w:jc w:val="both"/>
              <w:rPr>
                <w:b/>
              </w:rPr>
            </w:pPr>
            <w:r>
              <w:rPr>
                <w:b/>
              </w:rPr>
              <w:t>Reconciliation of Net Income/(Loss) to Adjusted Net Income/(Loss)</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right"/>
              <w:rPr/>
            </w:pPr>
            <w:r>
              <w:rPr/>
              <w:t> </w:t>
            </w:r>
          </w:p>
        </w:tc>
        <w:tc>
          <w:tcPr>
            <w:tcW w:w="16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8" w:type="dxa"/>
            <w:gridSpan w:val="2"/>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ind w:left="0" w:right="0" w:hanging="360"/>
              <w:jc w:val="left"/>
              <w:rPr/>
            </w:pPr>
            <w:r>
              <w:rPr/>
              <w:t> </w:t>
            </w:r>
          </w:p>
        </w:tc>
      </w:tr>
      <w:tr>
        <w:trPr/>
        <w:tc>
          <w:tcPr>
            <w:tcW w:w="5264" w:type="dxa"/>
            <w:tcBorders/>
            <w:shd w:fill="CCEEFF" w:val="clear"/>
            <w:vAlign w:val="center"/>
          </w:tcPr>
          <w:p>
            <w:pPr>
              <w:pStyle w:val="TableContents"/>
              <w:bidi w:val="0"/>
              <w:spacing w:before="0" w:after="283"/>
              <w:jc w:val="both"/>
              <w:rPr>
                <w:b/>
              </w:rPr>
            </w:pPr>
            <w:r>
              <w:rPr>
                <w:b/>
              </w:rPr>
              <w:t>Net income/(loss)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b/>
              </w:rPr>
            </w:pPr>
            <w:r>
              <w:rPr>
                <w:b/>
              </w:rPr>
              <w:t>678</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b/>
              </w:rPr>
            </w:pPr>
            <w:r>
              <w:rPr>
                <w:b/>
              </w:rPr>
              <w:t>(2,984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b/>
              </w:rPr>
            </w:pPr>
            <w:r>
              <w:rPr>
                <w:b/>
              </w:rPr>
              <w:t>64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(6,477</w:t>
            </w:r>
          </w:p>
        </w:tc>
        <w:tc>
          <w:tcPr>
            <w:tcW w:w="119" w:type="dxa"/>
            <w:tcBorders/>
            <w:shd w:fill="CCEEFF" w:val="clear"/>
            <w:vAlign w:val="center"/>
          </w:tcPr>
          <w:p>
            <w:pPr>
              <w:pStyle w:val="TableContents"/>
              <w:bidi w:val="0"/>
              <w:spacing w:before="0" w:after="283"/>
              <w:ind w:left="0" w:right="0" w:hanging="360"/>
              <w:jc w:val="left"/>
              <w:rPr>
                <w:b/>
              </w:rPr>
            </w:pPr>
            <w:r>
              <w:rPr>
                <w:b/>
              </w:rPr>
              <w:t>)</w:t>
            </w:r>
          </w:p>
        </w:tc>
      </w:tr>
      <w:tr>
        <w:trPr/>
        <w:tc>
          <w:tcPr>
            <w:tcW w:w="5264" w:type="dxa"/>
            <w:tcBorders/>
            <w:shd w:fill="FFFFFF" w:val="clear"/>
            <w:vAlign w:val="center"/>
          </w:tcPr>
          <w:p>
            <w:pPr>
              <w:pStyle w:val="TableContents"/>
              <w:bidi w:val="0"/>
              <w:spacing w:before="0" w:after="283"/>
              <w:jc w:val="both"/>
              <w:rPr/>
            </w:pPr>
            <w:r>
              <w:rPr/>
              <w:t>Add: share-based compensation</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380</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709</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364</w:t>
            </w:r>
          </w:p>
        </w:tc>
        <w:tc>
          <w:tcPr>
            <w:tcW w:w="119" w:type="dxa"/>
            <w:tcBorders/>
            <w:shd w:fill="FFFFFF" w:val="clear"/>
            <w:vAlign w:val="center"/>
          </w:tcPr>
          <w:p>
            <w:pPr>
              <w:pStyle w:val="TableContents"/>
              <w:bidi w:val="0"/>
              <w:spacing w:before="0" w:after="283"/>
              <w:ind w:left="0" w:right="0" w:hanging="360"/>
              <w:jc w:val="left"/>
              <w:rPr/>
            </w:pPr>
            <w:r>
              <w:rPr/>
              <w:t> </w:t>
            </w:r>
          </w:p>
        </w:tc>
      </w:tr>
      <w:tr>
        <w:trPr/>
        <w:tc>
          <w:tcPr>
            <w:tcW w:w="5264" w:type="dxa"/>
            <w:tcBorders/>
            <w:shd w:fill="CCEEFF" w:val="clear"/>
            <w:vAlign w:val="center"/>
          </w:tcPr>
          <w:p>
            <w:pPr>
              <w:pStyle w:val="TableContents"/>
              <w:bidi w:val="0"/>
              <w:spacing w:before="0" w:after="283"/>
              <w:jc w:val="both"/>
              <w:rPr/>
            </w:pPr>
            <w:r>
              <w:rPr/>
              <w:t>fair value (gain)/loss in other investments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(579</w:t>
            </w:r>
          </w:p>
        </w:tc>
        <w:tc>
          <w:tcPr>
            <w:tcW w:w="167"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150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1,157</w:t>
            </w:r>
          </w:p>
        </w:tc>
        <w:tc>
          <w:tcPr>
            <w:tcW w:w="119" w:type="dxa"/>
            <w:tcBorders/>
            <w:shd w:fill="CCEEFF" w:val="clear"/>
            <w:vAlign w:val="center"/>
          </w:tcPr>
          <w:p>
            <w:pPr>
              <w:pStyle w:val="TableContents"/>
              <w:bidi w:val="0"/>
              <w:spacing w:before="0" w:after="283"/>
              <w:ind w:left="0" w:right="0" w:hanging="360"/>
              <w:jc w:val="left"/>
              <w:rPr/>
            </w:pPr>
            <w:r>
              <w:rPr/>
              <w:t> </w:t>
            </w:r>
          </w:p>
        </w:tc>
      </w:tr>
      <w:tr>
        <w:trPr/>
        <w:tc>
          <w:tcPr>
            <w:tcW w:w="5264" w:type="dxa"/>
            <w:tcBorders/>
            <w:shd w:fill="FFFFFF" w:val="clear"/>
            <w:vAlign w:val="center"/>
          </w:tcPr>
          <w:p>
            <w:pPr>
              <w:pStyle w:val="TableContents"/>
              <w:bidi w:val="0"/>
              <w:spacing w:before="0" w:after="283"/>
              <w:jc w:val="both"/>
              <w:rPr/>
            </w:pPr>
            <w:r>
              <w:rPr/>
              <w:t>Less: share of loss in equity method investment, net of tax</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167"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9" w:type="dxa"/>
            <w:tcBorders/>
            <w:shd w:fill="FFFFFF" w:val="clear"/>
            <w:vAlign w:val="center"/>
          </w:tcPr>
          <w:p>
            <w:pPr>
              <w:pStyle w:val="TableContents"/>
              <w:bidi w:val="0"/>
              <w:spacing w:before="0" w:after="283"/>
              <w:ind w:left="0" w:right="0" w:hanging="360"/>
              <w:jc w:val="left"/>
              <w:rPr/>
            </w:pPr>
            <w:r>
              <w:rPr/>
              <w:t> </w:t>
            </w:r>
          </w:p>
        </w:tc>
      </w:tr>
      <w:tr>
        <w:trPr/>
        <w:tc>
          <w:tcPr>
            <w:tcW w:w="5264" w:type="dxa"/>
            <w:tcBorders/>
            <w:shd w:fill="CCEEFF" w:val="clear"/>
            <w:vAlign w:val="center"/>
          </w:tcPr>
          <w:p>
            <w:pPr>
              <w:pStyle w:val="TableContents"/>
              <w:bidi w:val="0"/>
              <w:spacing w:before="0" w:after="283"/>
              <w:jc w:val="both"/>
              <w:rPr>
                <w:b/>
              </w:rPr>
            </w:pPr>
            <w:r>
              <w:rPr>
                <w:b/>
              </w:rPr>
              <w:t>Adjusted net income/(loss)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486</w:t>
            </w:r>
          </w:p>
        </w:tc>
        <w:tc>
          <w:tcPr>
            <w:tcW w:w="16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933</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(4,952</w:t>
            </w:r>
          </w:p>
        </w:tc>
        <w:tc>
          <w:tcPr>
            <w:tcW w:w="119"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8"/>
        <w:gridCol w:w="60"/>
        <w:gridCol w:w="103"/>
        <w:gridCol w:w="973"/>
        <w:gridCol w:w="164"/>
        <w:gridCol w:w="103"/>
        <w:gridCol w:w="103"/>
        <w:gridCol w:w="1104"/>
        <w:gridCol w:w="95"/>
        <w:gridCol w:w="60"/>
        <w:gridCol w:w="98"/>
        <w:gridCol w:w="915"/>
        <w:gridCol w:w="98"/>
        <w:gridCol w:w="98"/>
        <w:gridCol w:w="98"/>
        <w:gridCol w:w="1038"/>
        <w:gridCol w:w="117"/>
      </w:tblGrid>
      <w:tr>
        <w:trPr/>
        <w:tc>
          <w:tcPr>
            <w:tcW w:w="497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117" w:type="dxa"/>
            <w:tcBorders/>
            <w:vAlign w:val="center"/>
          </w:tcPr>
          <w:p>
            <w:pPr>
              <w:pStyle w:val="TableContents"/>
              <w:bidi w:val="0"/>
              <w:spacing w:before="0" w:after="283"/>
              <w:jc w:val="left"/>
              <w:rPr/>
            </w:pPr>
            <w:r>
              <w:rPr/>
              <w:t> </w:t>
            </w:r>
          </w:p>
        </w:tc>
      </w:tr>
      <w:tr>
        <w:trPr/>
        <w:tc>
          <w:tcPr>
            <w:tcW w:w="497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7" w:type="dxa"/>
            <w:tcBorders/>
            <w:vAlign w:val="center"/>
          </w:tcPr>
          <w:p>
            <w:pPr>
              <w:pStyle w:val="TableContents"/>
              <w:bidi w:val="0"/>
              <w:spacing w:before="0" w:after="283"/>
              <w:jc w:val="left"/>
              <w:rPr/>
            </w:pPr>
            <w:r>
              <w:rPr/>
              <w:t> </w:t>
            </w:r>
          </w:p>
        </w:tc>
      </w:tr>
      <w:tr>
        <w:trPr/>
        <w:tc>
          <w:tcPr>
            <w:tcW w:w="4978" w:type="dxa"/>
            <w:tcBorders/>
            <w:vAlign w:val="center"/>
          </w:tcPr>
          <w:p>
            <w:pPr>
              <w:pStyle w:val="TableContents"/>
              <w:bidi w:val="0"/>
              <w:spacing w:before="0" w:after="283"/>
              <w:jc w:val="both"/>
              <w:rPr>
                <w:b/>
              </w:rPr>
            </w:pPr>
            <w:r>
              <w:rPr>
                <w:b/>
              </w:rPr>
              <w:t>Reconciliation of Net Income/(Loss) to Adjusted EBITDA</w:t>
            </w:r>
          </w:p>
        </w:tc>
        <w:tc>
          <w:tcPr>
            <w:tcW w:w="60" w:type="dxa"/>
            <w:tcBorders/>
            <w:vAlign w:val="center"/>
          </w:tcPr>
          <w:p>
            <w:pPr>
              <w:pStyle w:val="TableContents"/>
              <w:bidi w:val="0"/>
              <w:spacing w:before="0" w:after="283"/>
              <w:jc w:val="left"/>
              <w:rPr/>
            </w:pPr>
            <w:r>
              <w:rPr/>
              <w:t> </w:t>
            </w:r>
          </w:p>
        </w:tc>
        <w:tc>
          <w:tcPr>
            <w:tcW w:w="1076" w:type="dxa"/>
            <w:gridSpan w:val="2"/>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r>
      <w:tr>
        <w:trPr/>
        <w:tc>
          <w:tcPr>
            <w:tcW w:w="4978" w:type="dxa"/>
            <w:tcBorders/>
            <w:shd w:fill="CCEEFF" w:val="clear"/>
            <w:vAlign w:val="center"/>
          </w:tcPr>
          <w:p>
            <w:pPr>
              <w:pStyle w:val="TableContents"/>
              <w:bidi w:val="0"/>
              <w:spacing w:before="0" w:after="283"/>
              <w:jc w:val="both"/>
              <w:rPr>
                <w:b/>
              </w:rPr>
            </w:pPr>
            <w:r>
              <w:rPr>
                <w:b/>
              </w:rPr>
              <w:t>Net income/(loss)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678</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(2,984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b/>
              </w:rPr>
            </w:pPr>
            <w:r>
              <w:rPr>
                <w:b/>
              </w:rPr>
              <w:t>64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b/>
              </w:rPr>
            </w:pPr>
            <w:r>
              <w:rPr>
                <w:b/>
              </w:rPr>
              <w:t>(6,477</w:t>
            </w:r>
          </w:p>
        </w:tc>
        <w:tc>
          <w:tcPr>
            <w:tcW w:w="117" w:type="dxa"/>
            <w:tcBorders/>
            <w:shd w:fill="CCEEFF" w:val="clear"/>
            <w:vAlign w:val="center"/>
          </w:tcPr>
          <w:p>
            <w:pPr>
              <w:pStyle w:val="TableContents"/>
              <w:bidi w:val="0"/>
              <w:spacing w:before="0" w:after="283"/>
              <w:jc w:val="left"/>
              <w:rPr>
                <w:b/>
              </w:rPr>
            </w:pPr>
            <w:r>
              <w:rPr>
                <w:b/>
              </w:rPr>
              <w:t>)</w:t>
            </w:r>
          </w:p>
        </w:tc>
      </w:tr>
      <w:tr>
        <w:trPr/>
        <w:tc>
          <w:tcPr>
            <w:tcW w:w="4978" w:type="dxa"/>
            <w:tcBorders/>
            <w:shd w:fill="FFFFFF" w:val="clear"/>
            <w:vAlign w:val="center"/>
          </w:tcPr>
          <w:p>
            <w:pPr>
              <w:pStyle w:val="TableContents"/>
              <w:bidi w:val="0"/>
              <w:spacing w:before="0" w:after="283"/>
              <w:jc w:val="both"/>
              <w:rPr/>
            </w:pPr>
            <w:r>
              <w:rPr/>
              <w:t>Add: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4978"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59</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116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137</w:t>
            </w:r>
          </w:p>
        </w:tc>
        <w:tc>
          <w:tcPr>
            <w:tcW w:w="117" w:type="dxa"/>
            <w:tcBorders/>
            <w:shd w:fill="CCEEFF" w:val="clear"/>
            <w:vAlign w:val="center"/>
          </w:tcPr>
          <w:p>
            <w:pPr>
              <w:pStyle w:val="TableContents"/>
              <w:bidi w:val="0"/>
              <w:spacing w:before="0" w:after="283"/>
              <w:jc w:val="left"/>
              <w:rPr/>
            </w:pPr>
            <w:r>
              <w:rPr/>
              <w:t> </w:t>
            </w:r>
          </w:p>
        </w:tc>
      </w:tr>
      <w:tr>
        <w:trPr/>
        <w:tc>
          <w:tcPr>
            <w:tcW w:w="4978"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95</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182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(21</w:t>
            </w:r>
          </w:p>
        </w:tc>
        <w:tc>
          <w:tcPr>
            <w:tcW w:w="117" w:type="dxa"/>
            <w:tcBorders/>
            <w:shd w:fill="FFFFFF" w:val="clear"/>
            <w:vAlign w:val="center"/>
          </w:tcPr>
          <w:p>
            <w:pPr>
              <w:pStyle w:val="TableContents"/>
              <w:bidi w:val="0"/>
              <w:spacing w:before="0" w:after="283"/>
              <w:jc w:val="left"/>
              <w:rPr/>
            </w:pPr>
            <w:r>
              <w:rPr/>
              <w:t>)</w:t>
            </w:r>
          </w:p>
        </w:tc>
      </w:tr>
      <w:tr>
        <w:trPr/>
        <w:tc>
          <w:tcPr>
            <w:tcW w:w="4978" w:type="dxa"/>
            <w:tcBorders/>
            <w:shd w:fill="CCEEFF" w:val="clear"/>
            <w:vAlign w:val="center"/>
          </w:tcPr>
          <w:p>
            <w:pPr>
              <w:pStyle w:val="TableContents"/>
              <w:bidi w:val="0"/>
              <w:spacing w:before="0" w:after="283"/>
              <w:jc w:val="both"/>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738</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1,511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1,075</w:t>
            </w:r>
          </w:p>
        </w:tc>
        <w:tc>
          <w:tcPr>
            <w:tcW w:w="117" w:type="dxa"/>
            <w:tcBorders/>
            <w:shd w:fill="CCEEFF" w:val="clear"/>
            <w:vAlign w:val="center"/>
          </w:tcPr>
          <w:p>
            <w:pPr>
              <w:pStyle w:val="TableContents"/>
              <w:bidi w:val="0"/>
              <w:spacing w:before="0" w:after="283"/>
              <w:jc w:val="left"/>
              <w:rPr/>
            </w:pPr>
            <w:r>
              <w:rPr/>
              <w:t> </w:t>
            </w:r>
          </w:p>
        </w:tc>
      </w:tr>
      <w:tr>
        <w:trPr/>
        <w:tc>
          <w:tcPr>
            <w:tcW w:w="4978" w:type="dxa"/>
            <w:tcBorders/>
            <w:shd w:fill="FFFFFF" w:val="clear"/>
            <w:vAlign w:val="center"/>
          </w:tcPr>
          <w:p>
            <w:pPr>
              <w:pStyle w:val="TableContents"/>
              <w:bidi w:val="0"/>
              <w:spacing w:before="0" w:after="283"/>
              <w:jc w:val="both"/>
              <w:rPr/>
            </w:pPr>
            <w:r>
              <w:rPr/>
              <w:t>EBITDA</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1,570</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(2,442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1,873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(5,286</w:t>
            </w:r>
          </w:p>
        </w:tc>
        <w:tc>
          <w:tcPr>
            <w:tcW w:w="117" w:type="dxa"/>
            <w:tcBorders/>
            <w:shd w:fill="FFFFFF" w:val="clear"/>
            <w:vAlign w:val="center"/>
          </w:tcPr>
          <w:p>
            <w:pPr>
              <w:pStyle w:val="TableContents"/>
              <w:bidi w:val="0"/>
              <w:spacing w:before="0" w:after="283"/>
              <w:jc w:val="left"/>
              <w:rPr/>
            </w:pPr>
            <w:r>
              <w:rPr/>
              <w:t>)</w:t>
            </w:r>
          </w:p>
        </w:tc>
      </w:tr>
      <w:tr>
        <w:trPr/>
        <w:tc>
          <w:tcPr>
            <w:tcW w:w="4978" w:type="dxa"/>
            <w:tcBorders/>
            <w:shd w:fill="CCEEFF" w:val="clear"/>
            <w:vAlign w:val="center"/>
          </w:tcPr>
          <w:p>
            <w:pPr>
              <w:pStyle w:val="TableContents"/>
              <w:bidi w:val="0"/>
              <w:spacing w:before="0" w:after="283"/>
              <w:jc w:val="both"/>
              <w:rPr/>
            </w:pPr>
            <w:r>
              <w:rPr/>
              <w:t>Add: share-based compensation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380</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709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364</w:t>
            </w:r>
          </w:p>
        </w:tc>
        <w:tc>
          <w:tcPr>
            <w:tcW w:w="117" w:type="dxa"/>
            <w:tcBorders/>
            <w:shd w:fill="CCEEFF" w:val="clear"/>
            <w:vAlign w:val="center"/>
          </w:tcPr>
          <w:p>
            <w:pPr>
              <w:pStyle w:val="TableContents"/>
              <w:bidi w:val="0"/>
              <w:spacing w:before="0" w:after="283"/>
              <w:jc w:val="left"/>
              <w:rPr/>
            </w:pPr>
            <w:r>
              <w:rPr/>
              <w:t> </w:t>
            </w:r>
          </w:p>
        </w:tc>
      </w:tr>
      <w:tr>
        <w:trPr/>
        <w:tc>
          <w:tcPr>
            <w:tcW w:w="4978" w:type="dxa"/>
            <w:tcBorders/>
            <w:shd w:fill="FFFFFF" w:val="clear"/>
            <w:vAlign w:val="center"/>
          </w:tcPr>
          <w:p>
            <w:pPr>
              <w:pStyle w:val="TableContents"/>
              <w:bidi w:val="0"/>
              <w:spacing w:before="0" w:after="283"/>
              <w:jc w:val="both"/>
              <w:rPr/>
            </w:pPr>
            <w:r>
              <w:rPr/>
              <w:t>fair value (gain)/loss in other investments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(579</w:t>
            </w:r>
          </w:p>
        </w:tc>
        <w:tc>
          <w:tcPr>
            <w:tcW w:w="164"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150</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r>
      <w:tr>
        <w:trPr/>
        <w:tc>
          <w:tcPr>
            <w:tcW w:w="4978" w:type="dxa"/>
            <w:tcBorders/>
            <w:shd w:fill="CCEEFF" w:val="clear"/>
            <w:vAlign w:val="center"/>
          </w:tcPr>
          <w:p>
            <w:pPr>
              <w:pStyle w:val="TableContents"/>
              <w:bidi w:val="0"/>
              <w:spacing w:before="0" w:after="283"/>
              <w:jc w:val="both"/>
              <w:rPr/>
            </w:pPr>
            <w:r>
              <w:rPr/>
              <w:t>Less: share of loss in equity method investment, net of tax</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6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17" w:type="dxa"/>
            <w:tcBorders/>
            <w:shd w:fill="CCEEFF" w:val="clear"/>
            <w:vAlign w:val="center"/>
          </w:tcPr>
          <w:p>
            <w:pPr>
              <w:pStyle w:val="TableContents"/>
              <w:bidi w:val="0"/>
              <w:spacing w:before="0" w:after="283"/>
              <w:jc w:val="left"/>
              <w:rPr/>
            </w:pPr>
            <w:r>
              <w:rPr/>
              <w:t> </w:t>
            </w:r>
          </w:p>
        </w:tc>
      </w:tr>
      <w:tr>
        <w:trPr/>
        <w:tc>
          <w:tcPr>
            <w:tcW w:w="4978" w:type="dxa"/>
            <w:tcBorders/>
            <w:shd w:fill="FFFFFF" w:val="clear"/>
            <w:vAlign w:val="center"/>
          </w:tcPr>
          <w:p>
            <w:pPr>
              <w:pStyle w:val="TableContents"/>
              <w:bidi w:val="0"/>
              <w:spacing w:before="0" w:after="283"/>
              <w:jc w:val="both"/>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1,378</w:t>
            </w:r>
          </w:p>
        </w:tc>
        <w:tc>
          <w:tcPr>
            <w:tcW w:w="164"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2,742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(3,761</w:t>
            </w:r>
          </w:p>
        </w:tc>
        <w:tc>
          <w:tcPr>
            <w:tcW w:w="117"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4873</Words>
  <Characters>26601</Characters>
  <CharactersWithSpaces>31968</CharactersWithSpaces>
  <Paragraphs>1943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