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Peng Zhiping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2214-RM1, 22/F, MIRA PLACE TOWER 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 NATHAN ROAD, TSIM SHA TSUI, KOWLOON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uCloudlink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0"/>
        <w:gridCol w:w="771"/>
        <w:gridCol w:w="598"/>
        <w:gridCol w:w="345"/>
        <w:gridCol w:w="1008"/>
        <w:gridCol w:w="446"/>
        <w:gridCol w:w="608"/>
        <w:gridCol w:w="1267"/>
        <w:gridCol w:w="986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515,736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Share, par value US$0.00005 per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890,000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5,844,830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ten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represents 890,000 Restricted Share Units ("RSU") granted to the reporting person on August 31, 2026 pursuant to the Company's 2019 Share Incentive Plan (the "2019 Plan"). Each RSU represents a contingent right to receive one Class A ordinary share upon vesting. The RSUs vest 50% on August 31, 2027, 20% on August 31, 2028, and 10% on each of August 31, 2029, 2030 and 2031, subject to the terms of the 2019 Plan and applicable award agreement.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Zhiping Peng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0441" TargetMode="External"/><Relationship Id="rId5" Type="http://schemas.openxmlformats.org/officeDocument/2006/relationships/hyperlink" Target="http://www.sec.gov/cgi-bin/browse-edgar?action=getcompany&amp;CIK=0001775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675</Words>
  <Characters>3613</Characters>
  <CharactersWithSpaces>4216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