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Shi Yimeng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2214-RM1, 22/F, MIRA PLACE TOWER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 NATHAN ROAD,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uCloudlink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2"/>
        <w:gridCol w:w="902"/>
        <w:gridCol w:w="772"/>
        <w:gridCol w:w="599"/>
        <w:gridCol w:w="347"/>
        <w:gridCol w:w="1012"/>
        <w:gridCol w:w="451"/>
        <w:gridCol w:w="613"/>
        <w:gridCol w:w="1274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US$0.00005 per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3,670,590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500,000 Restricted Share Units ("RSU") granted to the reporting person on August 31, 2026 pursuant to the Company's 2019 Share Incentive Plan (the "2019 Plan"). Each RSU represents a contingent right to receive one Class A ordinary share upon vesting. The RSUs vest 50% on August 31, 2027, 20% on August 31, 2028, and 10% on each of August 31, 2029, 2030 and 2031, subject to the terms of the 2019 Plan and applicable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Yimeng Shi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7539" TargetMode="External"/><Relationship Id="rId5" Type="http://schemas.openxmlformats.org/officeDocument/2006/relationships/hyperlink" Target="http://www.sec.gov/cgi-bin/browse-edgar?action=getcompany&amp;CIK=0001775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3598</Characters>
  <CharactersWithSpaces>4201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