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Gong Zhihui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2214-RM1, 22/F, MIRA PLACE TOWER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 NATHAN ROAD,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uCloudlink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2"/>
        <w:gridCol w:w="902"/>
        <w:gridCol w:w="772"/>
        <w:gridCol w:w="599"/>
        <w:gridCol w:w="347"/>
        <w:gridCol w:w="1012"/>
        <w:gridCol w:w="451"/>
        <w:gridCol w:w="613"/>
        <w:gridCol w:w="1274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US$0.00005 per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1,327,490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180,000 Restricted Share Units ("RSU") granted to the reporting person on August 31, 2026 pursuant to the Company's 2019 Share Incentive Plan (the "2019 Plan"). Each RSU represents a contingent right to receive one Class A ordinary share upon vesting. The RSUs vest 50% on August 31, 2027, 20% on August 31, 2028, and 10% on each of August 31, 2029, 2030 and 2031, subject to the terms of the 2019 Plan and applicable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Zhihui Gong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835" TargetMode="External"/><Relationship Id="rId5" Type="http://schemas.openxmlformats.org/officeDocument/2006/relationships/hyperlink" Target="http://www.sec.gov/cgi-bin/browse-edgar?action=getcompany&amp;CIK=0001775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3601</Characters>
  <CharactersWithSpaces>4204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